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D4D3C" w:rsidRDefault="009D4D3C">
      <w:r>
        <w:t>Neuroemergentism: Levels and Constraints</w:t>
      </w:r>
    </w:p>
    <w:p w:rsidR="009D4D3C" w:rsidRDefault="009D4D3C"/>
    <w:p w:rsidR="009D4D3C" w:rsidRDefault="009D4D3C">
      <w:r>
        <w:t>Brian MacWhinney</w:t>
      </w:r>
    </w:p>
    <w:p w:rsidR="009D4D3C" w:rsidRDefault="009D4D3C">
      <w:r>
        <w:t>Department of Psychology</w:t>
      </w:r>
    </w:p>
    <w:p w:rsidR="009D4D3C" w:rsidRDefault="009D4D3C">
      <w:r>
        <w:t>Carnegie Mellon University</w:t>
      </w:r>
    </w:p>
    <w:p w:rsidR="009D4D3C" w:rsidRDefault="009D4D3C">
      <w:r>
        <w:t>macw@cmu.edu</w:t>
      </w:r>
    </w:p>
    <w:p w:rsidR="009D4D3C" w:rsidRDefault="009D4D3C"/>
    <w:p w:rsidR="00206F07" w:rsidRDefault="00931444">
      <w:r>
        <w:t xml:space="preserve">Nature abounds with emergent processes.  Whether we are talking about the </w:t>
      </w:r>
      <w:r w:rsidR="00496E94">
        <w:t xml:space="preserve">shape and </w:t>
      </w:r>
      <w:r>
        <w:t xml:space="preserve">properties of water, soap bubbles, </w:t>
      </w:r>
      <w:r w:rsidR="00492E46">
        <w:t xml:space="preserve">ocean tides, </w:t>
      </w:r>
      <w:r>
        <w:t xml:space="preserve">honeycomb cells, protein molecules, optical dominance columns, mental representations, </w:t>
      </w:r>
      <w:r w:rsidR="00492E46">
        <w:t xml:space="preserve">neurolinguistic modules, </w:t>
      </w:r>
      <w:r>
        <w:t xml:space="preserve">linguistic forms, or social groups, we can view all structures in the natural world as </w:t>
      </w:r>
      <w:r w:rsidR="00496E94">
        <w:t>emerging from the force of constraints on different levels</w:t>
      </w:r>
      <w:r>
        <w:t xml:space="preserve">. The question is not whether </w:t>
      </w:r>
      <w:r w:rsidR="00492E46">
        <w:t xml:space="preserve">these </w:t>
      </w:r>
      <w:r>
        <w:t xml:space="preserve">patterns and structures are emergent, but rather what might be the mechanisms that determine the shape of </w:t>
      </w:r>
      <w:r w:rsidR="006A2B2D">
        <w:t xml:space="preserve">the </w:t>
      </w:r>
      <w:r>
        <w:t xml:space="preserve">emergent patterns.  </w:t>
      </w:r>
      <w:r w:rsidR="00492E46">
        <w:t>Everywhere in Nature</w:t>
      </w:r>
      <w:r>
        <w:t>, patterns emerge when</w:t>
      </w:r>
      <w:r w:rsidR="00492E46">
        <w:t xml:space="preserve"> the combination of parts</w:t>
      </w:r>
      <w:r>
        <w:t xml:space="preserve"> on a lower level </w:t>
      </w:r>
      <w:r w:rsidR="00492E46">
        <w:t>creates</w:t>
      </w:r>
      <w:r>
        <w:t xml:space="preserve"> more complex structures </w:t>
      </w:r>
      <w:r w:rsidR="00496E94">
        <w:t>which</w:t>
      </w:r>
      <w:r>
        <w:t xml:space="preserve"> are th</w:t>
      </w:r>
      <w:r w:rsidR="00492E46">
        <w:t>en subject to constraints and competition on this new level</w:t>
      </w:r>
      <w:r>
        <w:t xml:space="preserve">.  </w:t>
      </w:r>
      <w:r w:rsidR="00492E46">
        <w:t xml:space="preserve">This means that emergentist accounts must focus on a description of levels, competition, and constraints </w:t>
      </w:r>
      <w:r w:rsidR="00FE1A19">
        <w:fldChar w:fldCharType="begin"/>
      </w:r>
      <w:r w:rsidR="00FE1A19">
        <w:instrText xml:space="preserve"> ADDIN EN.CITE &lt;EndNote&gt;&lt;Cite&gt;&lt;Author&gt;MacWhinney&lt;/Author&gt;&lt;Year&gt;2014&lt;/Year&gt;&lt;RecNum&gt;10054&lt;/RecNum&gt;&lt;DisplayText&gt;(MacWhinney, 2014)&lt;/DisplayText&gt;&lt;record&gt;&lt;rec-number&gt;10054&lt;/rec-number&gt;&lt;foreign-keys&gt;&lt;key app="EN" db-id="prewxt000rws29e2ta752dpgx0pdtfxr9za5" timestamp="1517256364"&gt;10054&lt;/key&gt;&lt;key app="ENWeb" db-id=""&gt;0&lt;/key&gt;&lt;/foreign-keys&gt;&lt;ref-type name="Book Section"&gt;5&lt;/ref-type&gt;&lt;contributors&gt;&lt;authors&gt;&lt;author&gt;MacWhinney, Brian&lt;/author&gt;&lt;/authors&gt;&lt;secondary-authors&gt;&lt;author&gt;MacWhinney, Brian&lt;/author&gt;&lt;author&gt;Malchukov, Andrej&lt;/author&gt;&lt;author&gt;Moravcsik, Edith&lt;/author&gt;&lt;/secondary-authors&gt;&lt;/contributors&gt;&lt;titles&gt;&lt;title&gt;Conclusions: Competition across time&lt;/title&gt;&lt;secondary-title&gt;Competing motivations in grammar and usage&lt;/secondary-title&gt;&lt;/titles&gt;&lt;pages&gt;364-386&lt;/pages&gt;&lt;keywords&gt;&lt;keyword&gt;CM&lt;/keyword&gt;&lt;keyword&gt;Emergentism&lt;/keyword&gt;&lt;/keywords&gt;&lt;dates&gt;&lt;year&gt;2014&lt;/year&gt;&lt;/dates&gt;&lt;pub-location&gt;New York, NY&lt;/pub-location&gt;&lt;publisher&gt;Oxford University Press&lt;/publisher&gt;&lt;urls&gt;&lt;related-urls&gt;&lt;url&gt;https://psyling.talkbank.org/years/2014/competing-conclusion.pdf&lt;/url&gt;&lt;/related-urls&gt;&lt;/urls&gt;&lt;/record&gt;&lt;/Cite&gt;&lt;/EndNote&gt;</w:instrText>
      </w:r>
      <w:r w:rsidR="00FE1A19">
        <w:fldChar w:fldCharType="separate"/>
      </w:r>
      <w:r w:rsidR="00FE1A19">
        <w:rPr>
          <w:noProof/>
        </w:rPr>
        <w:t>(MacWhinney, 2014)</w:t>
      </w:r>
      <w:r w:rsidR="00FE1A19">
        <w:fldChar w:fldCharType="end"/>
      </w:r>
    </w:p>
    <w:p w:rsidR="00206F07" w:rsidRDefault="00206F07"/>
    <w:p w:rsidR="00931444" w:rsidRDefault="00496E94">
      <w:r>
        <w:t xml:space="preserve">As </w:t>
      </w:r>
      <w:r w:rsidR="00D91EFE">
        <w:t xml:space="preserve">Mill </w:t>
      </w:r>
      <w:r w:rsidR="00FE1A19">
        <w:fldChar w:fldCharType="begin"/>
      </w:r>
      <w:r w:rsidR="00FE1A19">
        <w:instrText xml:space="preserve"> ADDIN EN.CITE &lt;EndNote&gt;&lt;Cite ExcludeAuth="1"&gt;&lt;Author&gt;Mill&lt;/Author&gt;&lt;Year&gt;1859&lt;/Year&gt;&lt;RecNum&gt;11439&lt;/RecNum&gt;&lt;DisplayText&gt;(1859)&lt;/DisplayText&gt;&lt;record&gt;&lt;rec-number&gt;11439&lt;/rec-number&gt;&lt;foreign-keys&gt;&lt;key app="EN" db-id="prewxt000rws29e2ta752dpgx0pdtfxr9za5" timestamp="1519332767"&gt;11439&lt;/key&gt;&lt;/foreign-keys&gt;&lt;ref-type name="Book"&gt;6&lt;/ref-type&gt;&lt;contributors&gt;&lt;authors&gt;&lt;author&gt;Mill, John Stuart&lt;/author&gt;&lt;/authors&gt;&lt;/contributors&gt;&lt;titles&gt;&lt;title&gt;System of Logic, Rationative and Inductive; Being a Connected View of The Principles of Evidence and the Methods of Scientific Investigation. Chapter VI: Of the Composition of Causes&lt;/title&gt;&lt;/titles&gt;&lt;dates&gt;&lt;year&gt;1859&lt;/year&gt;&lt;/dates&gt;&lt;pub-location&gt;New York&lt;/pub-location&gt;&lt;publisher&gt;Harper and Brothers&lt;/publisher&gt;&lt;urls&gt;&lt;/urls&gt;&lt;/record&gt;&lt;/Cite&gt;&lt;/EndNote&gt;</w:instrText>
      </w:r>
      <w:r w:rsidR="00FE1A19">
        <w:fldChar w:fldCharType="separate"/>
      </w:r>
      <w:r w:rsidR="00FE1A19">
        <w:rPr>
          <w:noProof/>
        </w:rPr>
        <w:t>(1859)</w:t>
      </w:r>
      <w:r w:rsidR="00FE1A19">
        <w:fldChar w:fldCharType="end"/>
      </w:r>
      <w:r>
        <w:t xml:space="preserve"> </w:t>
      </w:r>
      <w:r w:rsidR="00D91EFE">
        <w:t xml:space="preserve">noted, water provides a perfect example. </w:t>
      </w:r>
      <w:r w:rsidR="00931444">
        <w:t xml:space="preserve"> </w:t>
      </w:r>
      <w:r w:rsidR="00492E46">
        <w:t>To</w:t>
      </w:r>
      <w:r w:rsidR="00D91EFE">
        <w:t xml:space="preserve"> </w:t>
      </w:r>
      <w:r w:rsidR="00492E46">
        <w:t>produce water from</w:t>
      </w:r>
      <w:r w:rsidR="00D91EFE">
        <w:t xml:space="preserve"> hydrogen </w:t>
      </w:r>
      <w:r w:rsidR="00492E46">
        <w:t>and</w:t>
      </w:r>
      <w:r w:rsidR="00D91EFE">
        <w:t xml:space="preserve"> oxygen, one must apply </w:t>
      </w:r>
      <w:r w:rsidR="00492E46">
        <w:t>a</w:t>
      </w:r>
      <w:r w:rsidR="00D91EFE">
        <w:t xml:space="preserve"> spark of energy to break the covalent bonds.  After that, the process </w:t>
      </w:r>
      <w:r w:rsidR="00492E46">
        <w:t xml:space="preserve">of molecular formation </w:t>
      </w:r>
      <w:r w:rsidR="00D91EFE">
        <w:t xml:space="preserve">produces its own energy and </w:t>
      </w:r>
      <w:r w:rsidR="00492E46">
        <w:t xml:space="preserve">the reaction </w:t>
      </w:r>
      <w:r w:rsidR="00D91EFE">
        <w:t xml:space="preserve">will go to completion.  </w:t>
      </w:r>
      <w:r w:rsidR="00492E46">
        <w:t xml:space="preserve">The first emergent property of this </w:t>
      </w:r>
      <w:r>
        <w:t xml:space="preserve">new </w:t>
      </w:r>
      <w:r w:rsidR="00492E46">
        <w:t xml:space="preserve">molecule is its polarity, which then </w:t>
      </w:r>
      <w:r>
        <w:t>responds</w:t>
      </w:r>
      <w:r w:rsidR="00492E46">
        <w:t xml:space="preserve"> </w:t>
      </w:r>
      <w:r>
        <w:t>to</w:t>
      </w:r>
      <w:r w:rsidR="00492E46">
        <w:t xml:space="preserve"> constraints on the molecular level to produce hydrogen-bonding of each water molecule with up to four additional water molecules.  </w:t>
      </w:r>
      <w:r>
        <w:t>These new links then produce</w:t>
      </w:r>
      <w:r w:rsidR="00492E46">
        <w:t xml:space="preserve"> water’s high surface tension as a further emergent property, as well as </w:t>
      </w:r>
      <w:r w:rsidR="007557E2">
        <w:t xml:space="preserve">its high thermal conductivity, specific heat capacity, heat of vaporization, and heat of fusion.  As water accumulates in larger bodies like lakes and oceans, these </w:t>
      </w:r>
      <w:r>
        <w:t xml:space="preserve">further </w:t>
      </w:r>
      <w:r w:rsidR="007557E2">
        <w:t xml:space="preserve">emergent properties shape new emergent patterns such as </w:t>
      </w:r>
      <w:r>
        <w:t xml:space="preserve">snowflakes, rain drops, ocean currents, glaciers, thunderstorms, </w:t>
      </w:r>
      <w:r w:rsidR="007557E2">
        <w:t>and many other features of our planet</w:t>
      </w:r>
      <w:r>
        <w:t xml:space="preserve"> and its climate</w:t>
      </w:r>
      <w:r w:rsidR="007557E2">
        <w:t xml:space="preserve">. </w:t>
      </w:r>
    </w:p>
    <w:p w:rsidR="007557E2" w:rsidRDefault="007557E2"/>
    <w:p w:rsidR="005A224F" w:rsidRDefault="007557E2">
      <w:r>
        <w:t xml:space="preserve">This interplay of structures, combinations, levels, and constraints works out in remarkably similar ways in the brain.  </w:t>
      </w:r>
      <w:r w:rsidR="00915D4D">
        <w:t xml:space="preserve">During </w:t>
      </w:r>
      <w:r w:rsidR="00496E94">
        <w:t>embryogenesis and</w:t>
      </w:r>
      <w:r w:rsidR="00834A95">
        <w:t xml:space="preserve"> </w:t>
      </w:r>
      <w:r w:rsidR="00915D4D">
        <w:t>epigenesis</w:t>
      </w:r>
      <w:r w:rsidR="00496E94">
        <w:t xml:space="preserve"> </w:t>
      </w:r>
      <w:r w:rsidR="00915D4D">
        <w:t xml:space="preserve">patterns in the mRNA </w:t>
      </w:r>
      <w:r w:rsidR="00496E94">
        <w:t>serve</w:t>
      </w:r>
      <w:r w:rsidR="00915D4D">
        <w:t xml:space="preserve"> as </w:t>
      </w:r>
      <w:r w:rsidR="00496E94">
        <w:t>a</w:t>
      </w:r>
      <w:r w:rsidR="00915D4D">
        <w:t xml:space="preserve"> template for the formation of new proteins.  The process of protein folding goes through four levels of structure and constraints to determine the final folded form.  On the primary level, a </w:t>
      </w:r>
      <w:r w:rsidR="00496E94">
        <w:t>simple chain of amino acids emerges</w:t>
      </w:r>
      <w:r w:rsidR="00915D4D">
        <w:t xml:space="preserve"> from the ribosome. On the secondary level, hydrogen bonding </w:t>
      </w:r>
      <w:r w:rsidR="00861EAE">
        <w:t xml:space="preserve">serves </w:t>
      </w:r>
      <w:r w:rsidR="00915D4D">
        <w:t>to create either helices or pleated sheets, based on the nature of the sequences</w:t>
      </w:r>
      <w:r w:rsidR="00496E94">
        <w:t xml:space="preserve"> of amino acids</w:t>
      </w:r>
      <w:r w:rsidR="00915D4D">
        <w:t xml:space="preserve"> from the primary level. On the tertiary level, the helices and pleated sheets twist into other forms based on hydrophobic and hydrophi</w:t>
      </w:r>
      <w:r w:rsidR="005A224F">
        <w:t xml:space="preserve">lic attractions.  On the quaternary level, multiple polypeptide chains formed on the teriary level combine further to produce still more complex 3-D patterns appropriate for the </w:t>
      </w:r>
      <w:r w:rsidR="006A2B2D">
        <w:t>functioning</w:t>
      </w:r>
      <w:r w:rsidR="005A224F">
        <w:t xml:space="preserve"> of particular proteins, such as the ability of hemoglobin in transport oxygen</w:t>
      </w:r>
      <w:r w:rsidR="00496E94">
        <w:t xml:space="preserve">, or the ability of antibodies to </w:t>
      </w:r>
      <w:r w:rsidR="006A2B2D">
        <w:t>engulf</w:t>
      </w:r>
      <w:r w:rsidR="00496E94">
        <w:t xml:space="preserve"> viruses</w:t>
      </w:r>
      <w:r w:rsidR="005A224F">
        <w:t xml:space="preserve">. On each of these four levels, folding is further guided by catalysts and molecular chaperones. Once proteins are available for neuronal functioning, </w:t>
      </w:r>
      <w:r w:rsidR="00496E94">
        <w:t>they can further determine</w:t>
      </w:r>
      <w:r w:rsidR="005A224F">
        <w:t xml:space="preserve"> the structure of neurons, transmitters, and hormones. As neurons group on higher levels, they are subject to </w:t>
      </w:r>
      <w:r w:rsidR="005A224F">
        <w:lastRenderedPageBreak/>
        <w:t xml:space="preserve">constraints from neuronal packing, local and distal connectivity patterns, activation thresholds, gang effects, and other properties of neural assemblies and areas.  </w:t>
      </w:r>
    </w:p>
    <w:p w:rsidR="005A224F" w:rsidRDefault="005A224F"/>
    <w:p w:rsidR="00AB012B" w:rsidRDefault="005A224F">
      <w:r>
        <w:t xml:space="preserve">When we </w:t>
      </w:r>
      <w:r w:rsidR="00496E94">
        <w:t>seek to elaborate</w:t>
      </w:r>
      <w:r>
        <w:t xml:space="preserve"> neuroemergentism, it is not enough to confine our accounts to levels, combination, and constraints.  We also need to consider the </w:t>
      </w:r>
      <w:r w:rsidR="00496E94">
        <w:t xml:space="preserve">process frames and </w:t>
      </w:r>
      <w:r>
        <w:t xml:space="preserve">timescales involved in specific neural processes. </w:t>
      </w:r>
      <w:r w:rsidR="0042633A">
        <w:t xml:space="preserve"> This means that we need to </w:t>
      </w:r>
      <w:r w:rsidR="00762387">
        <w:t xml:space="preserve">recognize specific emergent levels and the nature of the constraints operative on those levels. </w:t>
      </w:r>
      <w:r>
        <w:t xml:space="preserve"> MacWhinney </w:t>
      </w:r>
      <w:r w:rsidR="00FE1A19">
        <w:fldChar w:fldCharType="begin"/>
      </w:r>
      <w:r w:rsidR="00FE1A19">
        <w:instrText xml:space="preserve"> ADDIN EN.CITE &lt;EndNote&gt;&lt;Cite ExcludeAuth="1"&gt;&lt;Author&gt;MacWhinney&lt;/Author&gt;&lt;Year&gt;2015&lt;/Year&gt;&lt;RecNum&gt;10321&lt;/RecNum&gt;&lt;DisplayText&gt;(2015)&lt;/DisplayText&gt;&lt;record&gt;&lt;rec-number&gt;10321&lt;/rec-number&gt;&lt;foreign-keys&gt;&lt;key app="EN" db-id="prewxt000rws29e2ta752dpgx0pdtfxr9za5" timestamp="1517256364"&gt;10321&lt;/key&gt;&lt;key app="ENWeb" db-id=""&gt;0&lt;/key&gt;&lt;/foreign-keys&gt;&lt;ref-type name="Book Section"&gt;5&lt;/ref-type&gt;&lt;contributors&gt;&lt;authors&gt;&lt;author&gt;MacWhinney, Brian&lt;/author&gt;&lt;/authors&gt;&lt;secondary-authors&gt;&lt;author&gt;Dabrowsksa, Ewa&lt;/author&gt;&lt;author&gt;Divjak, Dagmar&lt;/author&gt;&lt;/secondary-authors&gt;&lt;/contributors&gt;&lt;titles&gt;&lt;title&gt;Emergentism&lt;/title&gt;&lt;secondary-title&gt;Handbook of Cognitive Linguistics&lt;/secondary-title&gt;&lt;/titles&gt;&lt;pages&gt;689-706&lt;/pages&gt;&lt;keywords&gt;&lt;keyword&gt;Emergentism&lt;/keyword&gt;&lt;/keywords&gt;&lt;dates&gt;&lt;year&gt;2015&lt;/year&gt;&lt;/dates&gt;&lt;pub-location&gt;New York, NY&lt;/pub-location&gt;&lt;publisher&gt;Mouton-DeGruyter&lt;/publisher&gt;&lt;urls&gt;&lt;related-urls&gt;&lt;url&gt;https://psyling.talkbank.org/years/2015/dabrowska.pdf&lt;/url&gt;&lt;/related-urls&gt;&lt;/urls&gt;&lt;/record&gt;&lt;/Cite&gt;&lt;/EndNote&gt;</w:instrText>
      </w:r>
      <w:r w:rsidR="00FE1A19">
        <w:fldChar w:fldCharType="separate"/>
      </w:r>
      <w:r w:rsidR="00FE1A19">
        <w:rPr>
          <w:noProof/>
        </w:rPr>
        <w:t>(2015)</w:t>
      </w:r>
      <w:r w:rsidR="00FE1A19">
        <w:fldChar w:fldCharType="end"/>
      </w:r>
      <w:r w:rsidR="00206F07">
        <w:t xml:space="preserve"> </w:t>
      </w:r>
      <w:r w:rsidR="009B465E">
        <w:t>groups</w:t>
      </w:r>
      <w:r>
        <w:t xml:space="preserve"> the many processes that shape </w:t>
      </w:r>
      <w:r w:rsidR="009B465E">
        <w:t>human language into f</w:t>
      </w:r>
      <w:r w:rsidR="005D6D37">
        <w:t>i</w:t>
      </w:r>
      <w:r w:rsidR="007343C0">
        <w:t xml:space="preserve">ve </w:t>
      </w:r>
      <w:r w:rsidR="00496E94">
        <w:t xml:space="preserve">rough </w:t>
      </w:r>
      <w:r w:rsidR="007343C0">
        <w:t xml:space="preserve">classes: genetic, </w:t>
      </w:r>
      <w:r w:rsidR="005D6D37">
        <w:t>ontogenetic</w:t>
      </w:r>
      <w:r w:rsidR="007343C0">
        <w:t>/epigenetic</w:t>
      </w:r>
      <w:r w:rsidR="009B465E">
        <w:t xml:space="preserve">, consolidation, processing, and social. The slowest moving of these processes are those that operate on the timescale of population genetics.  Here, we can talk about things such as the emergence </w:t>
      </w:r>
      <w:r w:rsidR="00496E94">
        <w:t>across hominid evolution</w:t>
      </w:r>
      <w:r w:rsidR="006A2B2D">
        <w:t xml:space="preserve"> </w:t>
      </w:r>
      <w:r w:rsidR="009B465E">
        <w:t>of an increased reliance on mirror neurons</w:t>
      </w:r>
      <w:r w:rsidR="00496E94">
        <w:t xml:space="preserve"> </w:t>
      </w:r>
      <w:r w:rsidR="00FE1A19">
        <w:fldChar w:fldCharType="begin"/>
      </w:r>
      <w:r w:rsidR="00FE1A19">
        <w:instrText xml:space="preserve"> ADDIN EN.CITE &lt;EndNote&gt;&lt;Cite&gt;&lt;Author&gt;Arbib&lt;/Author&gt;&lt;Year&gt;2015&lt;/Year&gt;&lt;RecNum&gt;10722&lt;/RecNum&gt;&lt;DisplayText&gt;(Arbib, 2015)&lt;/DisplayText&gt;&lt;record&gt;&lt;rec-number&gt;10722&lt;/rec-number&gt;&lt;foreign-keys&gt;&lt;key app="EN" db-id="prewxt000rws29e2ta752dpgx0pdtfxr9za5" timestamp="1516923278"&gt;10722&lt;/key&gt;&lt;/foreign-keys&gt;&lt;ref-type name="Book Section"&gt;5&lt;/ref-type&gt;&lt;contributors&gt;&lt;authors&gt;&lt;author&gt;Arbib, Michael&lt;/author&gt;&lt;/authors&gt;&lt;secondary-authors&gt;&lt;author&gt;MacWhinney, Brian&lt;/author&gt;&lt;author&gt;O&amp;apos;Grady, William&lt;/author&gt;&lt;/secondary-authors&gt;&lt;/contributors&gt;&lt;titles&gt;&lt;title&gt;Language evolution: An emergentism perspective&lt;/title&gt;&lt;secondary-title&gt;The handbook of language emergence&lt;/secondary-title&gt;&lt;/titles&gt;&lt;pages&gt;600-624&lt;/pages&gt;&lt;dates&gt;&lt;year&gt;2015&lt;/year&gt;&lt;/dates&gt;&lt;pub-location&gt;New York, NY&lt;/pub-location&gt;&lt;publisher&gt;Wiley&lt;/publisher&gt;&lt;urls&gt;&lt;/urls&gt;&lt;/record&gt;&lt;/Cite&gt;&lt;/EndNote&gt;</w:instrText>
      </w:r>
      <w:r w:rsidR="00FE1A19">
        <w:fldChar w:fldCharType="separate"/>
      </w:r>
      <w:r w:rsidR="00FE1A19">
        <w:rPr>
          <w:noProof/>
        </w:rPr>
        <w:t>(Arbib, 2015)</w:t>
      </w:r>
      <w:r w:rsidR="00FE1A19">
        <w:fldChar w:fldCharType="end"/>
      </w:r>
      <w:r w:rsidR="00206F07">
        <w:t xml:space="preserve">, </w:t>
      </w:r>
      <w:r w:rsidR="009B465E">
        <w:t>adaptations of the vocal tract for speech, and control of synaptogenesis in motor neurons through modifications of FoxP2</w:t>
      </w:r>
      <w:r w:rsidR="00206F07">
        <w:t xml:space="preserve"> </w:t>
      </w:r>
      <w:r w:rsidR="00FE1A19">
        <w:fldChar w:fldCharType="begin"/>
      </w:r>
      <w:r w:rsidR="00FE1A19">
        <w:instrText xml:space="preserve"> ADDIN EN.CITE &lt;EndNote&gt;&lt;Cite&gt;&lt;Author&gt;Fisher&lt;/Author&gt;&lt;Year&gt;2009&lt;/Year&gt;&lt;RecNum&gt;9761&lt;/RecNum&gt;&lt;DisplayText&gt;(Fisher &amp;amp; Scharff, 2009)&lt;/DisplayText&gt;&lt;record&gt;&lt;rec-number&gt;9761&lt;/rec-number&gt;&lt;foreign-keys&gt;&lt;key app="EN" db-id="prewxt000rws29e2ta752dpgx0pdtfxr9za5" timestamp="1516923239"&gt;9761&lt;/key&gt;&lt;/foreign-keys&gt;&lt;ref-type name="Journal Article"&gt;17&lt;/ref-type&gt;&lt;contributors&gt;&lt;authors&gt;&lt;author&gt;Fisher, Simon&lt;/author&gt;&lt;author&gt;Scharff, Constance&lt;/author&gt;&lt;/authors&gt;&lt;/contributors&gt;&lt;titles&gt;&lt;title&gt;FOXP2 as a molecular window into speech and language&lt;/title&gt;&lt;secondary-title&gt;Trends in Genetics&lt;/secondary-title&gt;&lt;/titles&gt;&lt;periodical&gt;&lt;full-title&gt;Trends in Genetics&lt;/full-title&gt;&lt;/periodical&gt;&lt;pages&gt;166-177&lt;/pages&gt;&lt;volume&gt;25&lt;/volume&gt;&lt;dates&gt;&lt;year&gt;2009&lt;/year&gt;&lt;/dates&gt;&lt;urls&gt;&lt;/urls&gt;&lt;/record&gt;&lt;/Cite&gt;&lt;/EndNote&gt;</w:instrText>
      </w:r>
      <w:r w:rsidR="00FE1A19">
        <w:fldChar w:fldCharType="separate"/>
      </w:r>
      <w:r w:rsidR="00FE1A19">
        <w:rPr>
          <w:noProof/>
        </w:rPr>
        <w:t>(Fisher &amp; Scharff, 2009)</w:t>
      </w:r>
      <w:r w:rsidR="00FE1A19">
        <w:fldChar w:fldCharType="end"/>
      </w:r>
      <w:r w:rsidR="009B465E">
        <w:t xml:space="preserve">.  The expression of these fundamental evolutionary changes </w:t>
      </w:r>
      <w:r w:rsidR="006A2B2D">
        <w:t>occurs</w:t>
      </w:r>
      <w:r w:rsidR="009B465E">
        <w:t xml:space="preserve"> during epigenesis, which can vary in terms of its canalization in the phenotype </w:t>
      </w:r>
      <w:r w:rsidR="00FE1A19">
        <w:fldChar w:fldCharType="begin"/>
      </w:r>
      <w:r w:rsidR="00FE1A19">
        <w:instrText xml:space="preserve"> ADDIN EN.CITE &lt;EndNote&gt;&lt;Cite&gt;&lt;Author&gt;West-Eberhard&lt;/Author&gt;&lt;Year&gt;2003&lt;/Year&gt;&lt;RecNum&gt;11440&lt;/RecNum&gt;&lt;DisplayText&gt;(West-Eberhard, 2003)&lt;/DisplayText&gt;&lt;record&gt;&lt;rec-number&gt;11440&lt;/rec-number&gt;&lt;foreign-keys&gt;&lt;key app="EN" db-id="prewxt000rws29e2ta752dpgx0pdtfxr9za5" timestamp="1519332767"&gt;11440&lt;/key&gt;&lt;/foreign-keys&gt;&lt;ref-type name="Book"&gt;6&lt;/ref-type&gt;&lt;contributors&gt;&lt;authors&gt;&lt;author&gt;West-Eberhard, Mary Jane&lt;/author&gt;&lt;/authors&gt;&lt;/contributors&gt;&lt;titles&gt;&lt;title&gt;Developmental plasticity and evolution&lt;/title&gt;&lt;/titles&gt;&lt;dates&gt;&lt;year&gt;2003&lt;/year&gt;&lt;/dates&gt;&lt;publisher&gt;Oxford University Press&lt;/publisher&gt;&lt;isbn&gt;0198028563&lt;/isbn&gt;&lt;urls&gt;&lt;/urls&gt;&lt;/record&gt;&lt;/Cite&gt;&lt;/EndNote&gt;</w:instrText>
      </w:r>
      <w:r w:rsidR="00FE1A19">
        <w:fldChar w:fldCharType="separate"/>
      </w:r>
      <w:r w:rsidR="00FE1A19">
        <w:rPr>
          <w:noProof/>
        </w:rPr>
        <w:t>(West-Eberhard, 2003)</w:t>
      </w:r>
      <w:r w:rsidR="00FE1A19">
        <w:fldChar w:fldCharType="end"/>
      </w:r>
      <w:r w:rsidR="00206F07">
        <w:t xml:space="preserve">. </w:t>
      </w:r>
      <w:r w:rsidR="009B465E">
        <w:t xml:space="preserve">The degree to which cortical areas involved in language either lose or retain their plasticity can then be further shaped by both experience and gene regulation during </w:t>
      </w:r>
      <w:r w:rsidR="007343C0">
        <w:t>ontogenesis or epigenesis</w:t>
      </w:r>
      <w:r w:rsidR="00206F07">
        <w:t xml:space="preserve"> </w:t>
      </w:r>
      <w:r w:rsidR="00FE1A19">
        <w:fldChar w:fldCharType="begin"/>
      </w:r>
      <w:r w:rsidR="00FE1A19">
        <w:instrText xml:space="preserve"> ADDIN EN.CITE &lt;EndNote&gt;&lt;Cite&gt;&lt;Author&gt;Werker&lt;/Author&gt;&lt;Year&gt;2014&lt;/Year&gt;&lt;RecNum&gt;11116&lt;/RecNum&gt;&lt;DisplayText&gt;(Werker &amp;amp; Hensch, 2014)&lt;/DisplayText&gt;&lt;record&gt;&lt;rec-number&gt;11116&lt;/rec-number&gt;&lt;foreign-keys&gt;&lt;key app="EN" db-id="prewxt000rws29e2ta752dpgx0pdtfxr9za5" timestamp="1516923294"&gt;11116&lt;/key&gt;&lt;/foreign-keys&gt;&lt;ref-type name="Journal Article"&gt;17&lt;/ref-type&gt;&lt;contributors&gt;&lt;authors&gt;&lt;author&gt;Werker, Janet&lt;/author&gt;&lt;author&gt;Hensch, Takao&lt;/author&gt;&lt;/authors&gt;&lt;/contributors&gt;&lt;titles&gt;&lt;title&gt;Critical periods in speech perception: New directions&lt;/title&gt;&lt;secondary-title&gt;Annual Review of Psychology&lt;/secondary-title&gt;&lt;/titles&gt;&lt;periodical&gt;&lt;full-title&gt;Annual Review of Psychology&lt;/full-title&gt;&lt;/periodical&gt;&lt;pages&gt;173-196&lt;/pages&gt;&lt;volume&gt;66&lt;/volume&gt;&lt;dates&gt;&lt;year&gt;2014&lt;/year&gt;&lt;/dates&gt;&lt;urls&gt;&lt;/urls&gt;&lt;electronic-resource-num&gt;10.1146/annurev-psych-010814-015104&lt;/electronic-resource-num&gt;&lt;/record&gt;&lt;/Cite&gt;&lt;/EndNote&gt;</w:instrText>
      </w:r>
      <w:r w:rsidR="00FE1A19">
        <w:fldChar w:fldCharType="separate"/>
      </w:r>
      <w:r w:rsidR="00FE1A19">
        <w:rPr>
          <w:noProof/>
        </w:rPr>
        <w:t>(Werker &amp; Hensch, 2014)</w:t>
      </w:r>
      <w:r w:rsidR="00FE1A19">
        <w:fldChar w:fldCharType="end"/>
      </w:r>
      <w:r w:rsidR="00206F07">
        <w:t xml:space="preserve">. </w:t>
      </w:r>
      <w:r w:rsidR="009B465E">
        <w:t xml:space="preserve">A still faster moving set of processes involves the consolidation of new linguistic skills and representations through interactions of the hippocampus and the basal ganglia with the cortex, during both language use and sleep.  </w:t>
      </w:r>
      <w:r w:rsidR="00C02333">
        <w:t xml:space="preserve">In some cases, these processes can lead to new representation after even </w:t>
      </w:r>
      <w:r w:rsidR="00AB012B">
        <w:t xml:space="preserve">one exposure, whereas other, more abstract patterns </w:t>
      </w:r>
      <w:r w:rsidR="00C02333">
        <w:t xml:space="preserve">may require </w:t>
      </w:r>
      <w:r w:rsidR="00AB012B">
        <w:t>days and weeks for full consolidation</w:t>
      </w:r>
      <w:r w:rsidR="00D34A52">
        <w:t xml:space="preserve"> </w:t>
      </w:r>
      <w:r w:rsidR="00FE1A19">
        <w:fldChar w:fldCharType="begin"/>
      </w:r>
      <w:r w:rsidR="00FE1A19">
        <w:instrText xml:space="preserve"> ADDIN EN.CITE &lt;EndNote&gt;&lt;Cite&gt;&lt;Author&gt;Honey&lt;/Author&gt;&lt;Year&gt;2017&lt;/Year&gt;&lt;RecNum&gt;11441&lt;/RecNum&gt;&lt;DisplayText&gt;(Honey, Newman, &amp;amp; Schapiro, 2017)&lt;/DisplayText&gt;&lt;record&gt;&lt;rec-number&gt;11441&lt;/rec-number&gt;&lt;foreign-keys&gt;&lt;key app="EN" db-id="prewxt000rws29e2ta752dpgx0pdtfxr9za5" timestamp="1519332767"&gt;11441&lt;/key&gt;&lt;/foreign-keys&gt;&lt;ref-type name="Journal Article"&gt;17&lt;/ref-type&gt;&lt;contributors&gt;&lt;authors&gt;&lt;author&gt;Honey, Christopher J&lt;/author&gt;&lt;author&gt;Newman, Ehren L&lt;/author&gt;&lt;author&gt;Schapiro, Anna C&lt;/author&gt;&lt;/authors&gt;&lt;/contributors&gt;&lt;titles&gt;&lt;title&gt;Switching between internal and external modes: A multi-scale learning principle&lt;/title&gt;&lt;secondary-title&gt;Network Neuroscience&lt;/secondary-title&gt;&lt;/titles&gt;&lt;periodical&gt;&lt;full-title&gt;Network Neuroscience&lt;/full-title&gt;&lt;/periodical&gt;&lt;pages&gt;1-18&lt;/pages&gt;&lt;number&gt;Early Access&lt;/number&gt;&lt;dates&gt;&lt;year&gt;2017&lt;/year&gt;&lt;/dates&gt;&lt;isbn&gt;2472-1751&lt;/isbn&gt;&lt;urls&gt;&lt;/urls&gt;&lt;/record&gt;&lt;/Cite&gt;&lt;/EndNote&gt;</w:instrText>
      </w:r>
      <w:r w:rsidR="00FE1A19">
        <w:fldChar w:fldCharType="separate"/>
      </w:r>
      <w:r w:rsidR="00FE1A19">
        <w:rPr>
          <w:noProof/>
        </w:rPr>
        <w:t>(Honey, Newman, &amp; Schapiro, 2017)</w:t>
      </w:r>
      <w:r w:rsidR="00FE1A19">
        <w:fldChar w:fldCharType="end"/>
      </w:r>
      <w:r w:rsidR="00AB012B">
        <w:t xml:space="preserve">. </w:t>
      </w:r>
    </w:p>
    <w:p w:rsidR="00AB012B" w:rsidRDefault="00AB012B"/>
    <w:p w:rsidR="00762387" w:rsidRDefault="00AB012B">
      <w:r>
        <w:t>Neuronal reuse and recycling are subject to constraints operative on the process/time</w:t>
      </w:r>
      <w:r w:rsidR="005D6D37">
        <w:t xml:space="preserve"> scales </w:t>
      </w:r>
      <w:r>
        <w:t xml:space="preserve">of </w:t>
      </w:r>
      <w:r w:rsidR="005D6D37">
        <w:t xml:space="preserve">epigenesis and </w:t>
      </w:r>
      <w:r>
        <w:t xml:space="preserve">consolidation.  </w:t>
      </w:r>
      <w:r w:rsidR="006A2B2D">
        <w:t>For example, n</w:t>
      </w:r>
      <w:r>
        <w:t xml:space="preserve">euroemergentism views the </w:t>
      </w:r>
      <w:r w:rsidR="00496E94">
        <w:t>exaptation</w:t>
      </w:r>
      <w:r>
        <w:t xml:space="preserve"> of the left </w:t>
      </w:r>
      <w:r w:rsidR="00973F17">
        <w:t>FFA</w:t>
      </w:r>
      <w:r>
        <w:t xml:space="preserve"> to </w:t>
      </w:r>
      <w:r w:rsidR="006A2B2D">
        <w:t>serve as</w:t>
      </w:r>
      <w:r>
        <w:t xml:space="preserve"> the VWFA as </w:t>
      </w:r>
      <w:r w:rsidR="00496E94">
        <w:t>an illustration</w:t>
      </w:r>
      <w:r>
        <w:t xml:space="preserve"> of reuse of an old form for a new function.  </w:t>
      </w:r>
      <w:r w:rsidR="00762387">
        <w:t>As Dehaene</w:t>
      </w:r>
      <w:r w:rsidR="00834A95">
        <w:t xml:space="preserve"> and Cohen </w:t>
      </w:r>
      <w:r w:rsidR="00FE1A19">
        <w:fldChar w:fldCharType="begin"/>
      </w:r>
      <w:r w:rsidR="00FE1A19">
        <w:instrText xml:space="preserve"> ADDIN EN.CITE &lt;EndNote&gt;&lt;Cite ExcludeAuth="1"&gt;&lt;Author&gt;Dehaene&lt;/Author&gt;&lt;Year&gt;2007&lt;/Year&gt;&lt;RecNum&gt;11452&lt;/RecNum&gt;&lt;DisplayText&gt;(2007)&lt;/DisplayText&gt;&lt;record&gt;&lt;rec-number&gt;11452&lt;/rec-number&gt;&lt;foreign-keys&gt;&lt;key app="EN" db-id="prewxt000rws29e2ta752dpgx0pdtfxr9za5" timestamp="1523638834"&gt;11452&lt;/key&gt;&lt;/foreign-keys&gt;&lt;ref-type name="Journal Article"&gt;17&lt;/ref-type&gt;&lt;contributors&gt;&lt;authors&gt;&lt;author&gt;Dehaene, Stanislas&lt;/author&gt;&lt;author&gt;Cohen, Laurent&lt;/author&gt;&lt;/authors&gt;&lt;/contributors&gt;&lt;titles&gt;&lt;title&gt;Cultural recycling of cortical maps&lt;/title&gt;&lt;secondary-title&gt;Neuron&lt;/secondary-title&gt;&lt;/titles&gt;&lt;periodical&gt;&lt;full-title&gt;Neuron&lt;/full-title&gt;&lt;/periodical&gt;&lt;pages&gt;384-398&lt;/pages&gt;&lt;volume&gt;56&lt;/volume&gt;&lt;number&gt;2&lt;/number&gt;&lt;dates&gt;&lt;year&gt;2007&lt;/year&gt;&lt;/dates&gt;&lt;isbn&gt;0896-6273&lt;/isbn&gt;&lt;urls&gt;&lt;/urls&gt;&lt;/record&gt;&lt;/Cite&gt;&lt;/EndNote&gt;</w:instrText>
      </w:r>
      <w:r w:rsidR="00FE1A19">
        <w:fldChar w:fldCharType="separate"/>
      </w:r>
      <w:r w:rsidR="00FE1A19">
        <w:rPr>
          <w:noProof/>
        </w:rPr>
        <w:t>(2007)</w:t>
      </w:r>
      <w:r w:rsidR="00FE1A19">
        <w:fldChar w:fldCharType="end"/>
      </w:r>
      <w:r w:rsidR="00762387">
        <w:t xml:space="preserve"> and Hernandez </w:t>
      </w:r>
      <w:r w:rsidR="00834A95">
        <w:t xml:space="preserve">et al. </w:t>
      </w:r>
      <w:r w:rsidR="00FE1A19">
        <w:fldChar w:fldCharType="begin"/>
      </w:r>
      <w:r w:rsidR="00FE1A19">
        <w:instrText xml:space="preserve"> ADDIN EN.CITE &lt;EndNote&gt;&lt;Cite ExcludeAuth="1"&gt;&lt;Author&gt;Hernandez&lt;/Author&gt;&lt;Year&gt;in press&lt;/Year&gt;&lt;RecNum&gt;11454&lt;/RecNum&gt;&lt;DisplayText&gt;(in press)&lt;/DisplayText&gt;&lt;record&gt;&lt;rec-number&gt;11454&lt;/rec-number&gt;&lt;foreign-keys&gt;&lt;key app="EN" db-id="prewxt000rws29e2ta752dpgx0pdtfxr9za5" timestamp="1523639110"&gt;11454&lt;/key&gt;&lt;/foreign-keys&gt;&lt;ref-type name="Journal Article"&gt;17&lt;/ref-type&gt;&lt;contributors&gt;&lt;authors&gt;&lt;author&gt;Hernandez, A.E.&lt;/author&gt;&lt;author&gt;Claussenius-Kalman, H. L. &lt;/author&gt;&lt;author&gt;Ronderos, J. &lt;/author&gt;&lt;author&gt;Castilla-Earls, A. P.&lt;/author&gt;&lt;author&gt;Sun, L.&lt;/author&gt;&lt;author&gt;Weiss, S. D.&lt;/author&gt;&lt;author&gt;Young, D. R.&lt;/author&gt;&lt;/authors&gt;&lt;/contributors&gt;&lt;titles&gt;&lt;title&gt;Neuroemergentism: A framework for studying cognition and the brain&lt;/title&gt;&lt;secondary-title&gt;Journal of Neurolinguistics&lt;/secondary-title&gt;&lt;/titles&gt;&lt;periodical&gt;&lt;full-title&gt;Journal of Neurolinguistics&lt;/full-title&gt;&lt;/periodical&gt;&lt;dates&gt;&lt;year&gt;in press&lt;/year&gt;&lt;/dates&gt;&lt;urls&gt;&lt;/urls&gt;&lt;/record&gt;&lt;/Cite&gt;&lt;/EndNote&gt;</w:instrText>
      </w:r>
      <w:r w:rsidR="00FE1A19">
        <w:fldChar w:fldCharType="separate"/>
      </w:r>
      <w:r w:rsidR="00FE1A19">
        <w:rPr>
          <w:noProof/>
        </w:rPr>
        <w:t>(in press)</w:t>
      </w:r>
      <w:r w:rsidR="00FE1A19">
        <w:fldChar w:fldCharType="end"/>
      </w:r>
      <w:bookmarkStart w:id="0" w:name="_GoBack"/>
      <w:bookmarkEnd w:id="0"/>
      <w:r w:rsidR="00834A95">
        <w:t xml:space="preserve"> </w:t>
      </w:r>
      <w:r w:rsidR="00762387">
        <w:t>note, this</w:t>
      </w:r>
      <w:r w:rsidR="007343C0">
        <w:t xml:space="preserve"> type of recycling depends both on the </w:t>
      </w:r>
      <w:r w:rsidR="00496E94">
        <w:t>cytoarchitectonic</w:t>
      </w:r>
      <w:r w:rsidR="007343C0">
        <w:t xml:space="preserve"> structure of an area and its pattern of connectivity with other areas involved in a type of processing.  In the case of learning to</w:t>
      </w:r>
      <w:r w:rsidR="00973F17">
        <w:t xml:space="preserve"> read, the ability of the left </w:t>
      </w:r>
      <w:r w:rsidR="007343C0">
        <w:t>FFA to encode precise visual patterns, along with its connectivity to the ventral stream of language processing</w:t>
      </w:r>
      <w:r w:rsidR="00496E94">
        <w:t xml:space="preserve"> </w:t>
      </w:r>
      <w:r w:rsidR="00FE1A19">
        <w:fldChar w:fldCharType="begin"/>
      </w:r>
      <w:r w:rsidR="00FE1A19">
        <w:instrText xml:space="preserve"> ADDIN EN.CITE &lt;EndNote&gt;&lt;Cite&gt;&lt;Author&gt;Hickok&lt;/Author&gt;&lt;Year&gt;2004&lt;/Year&gt;&lt;RecNum&gt;10077&lt;/RecNum&gt;&lt;DisplayText&gt;(Hickok &amp;amp; Poeppel, 2004)&lt;/DisplayText&gt;&lt;record&gt;&lt;rec-number&gt;10077&lt;/rec-number&gt;&lt;foreign-keys&gt;&lt;key app="EN" db-id="prewxt000rws29e2ta752dpgx0pdtfxr9za5" timestamp="1516923249"&gt;10077&lt;/key&gt;&lt;/foreign-keys&gt;&lt;ref-type name="Journal Article"&gt;17&lt;/ref-type&gt;&lt;contributors&gt;&lt;authors&gt;&lt;author&gt;Hickok, Gregory&lt;/author&gt;&lt;author&gt;Poeppel, David&lt;/author&gt;&lt;/authors&gt;&lt;/contributors&gt;&lt;titles&gt;&lt;title&gt;Dorsal and ventral streams: a framework for understanding aspects of the functional anatomy of language&lt;/title&gt;&lt;secondary-title&gt;Cognition&lt;/secondary-title&gt;&lt;/titles&gt;&lt;periodical&gt;&lt;full-title&gt;Cognition&lt;/full-title&gt;&lt;/periodical&gt;&lt;pages&gt;67-99&lt;/pages&gt;&lt;volume&gt;92&lt;/volume&gt;&lt;dates&gt;&lt;year&gt;2004&lt;/year&gt;&lt;/dates&gt;&lt;urls&gt;&lt;/urls&gt;&lt;/record&gt;&lt;/Cite&gt;&lt;/EndNote&gt;</w:instrText>
      </w:r>
      <w:r w:rsidR="00FE1A19">
        <w:fldChar w:fldCharType="separate"/>
      </w:r>
      <w:r w:rsidR="00FE1A19">
        <w:rPr>
          <w:noProof/>
        </w:rPr>
        <w:t>(Hickok &amp; Poeppel, 2004)</w:t>
      </w:r>
      <w:r w:rsidR="00FE1A19">
        <w:fldChar w:fldCharType="end"/>
      </w:r>
      <w:r w:rsidR="00D34A52">
        <w:t xml:space="preserve"> </w:t>
      </w:r>
      <w:r w:rsidR="007343C0">
        <w:t xml:space="preserve">allow it to take over the function of visual word processing.  </w:t>
      </w:r>
    </w:p>
    <w:p w:rsidR="00762387" w:rsidRDefault="00762387"/>
    <w:p w:rsidR="002B2D88" w:rsidRDefault="00B8056B">
      <w:r>
        <w:t>Dehaene’s theory of</w:t>
      </w:r>
      <w:r w:rsidR="007343C0">
        <w:t xml:space="preserve"> neuronal recycling</w:t>
      </w:r>
      <w:r w:rsidR="005E0B50">
        <w:t xml:space="preserve"> </w:t>
      </w:r>
      <w:r w:rsidR="00FE1A19">
        <w:fldChar w:fldCharType="begin"/>
      </w:r>
      <w:r w:rsidR="00FE1A19">
        <w:instrText xml:space="preserve"> ADDIN EN.CITE &lt;EndNote&gt;&lt;Cite&gt;&lt;Author&gt;Dehaene&lt;/Author&gt;&lt;Year&gt;2007&lt;/Year&gt;&lt;RecNum&gt;11452&lt;/RecNum&gt;&lt;DisplayText&gt;(Dehaene &amp;amp; Cohen, 2007)&lt;/DisplayText&gt;&lt;record&gt;&lt;rec-number&gt;11452&lt;/rec-number&gt;&lt;foreign-keys&gt;&lt;key app="EN" db-id="prewxt000rws29e2ta752dpgx0pdtfxr9za5" timestamp="1523638834"&gt;11452&lt;/key&gt;&lt;/foreign-keys&gt;&lt;ref-type name="Journal Article"&gt;17&lt;/ref-type&gt;&lt;contributors&gt;&lt;authors&gt;&lt;author&gt;Dehaene, Stanislas&lt;/author&gt;&lt;author&gt;Cohen, Laurent&lt;/author&gt;&lt;/authors&gt;&lt;/contributors&gt;&lt;titles&gt;&lt;title&gt;Cultural recycling of cortical maps&lt;/title&gt;&lt;secondary-title&gt;Neuron&lt;/secondary-title&gt;&lt;/titles&gt;&lt;periodical&gt;&lt;full-title&gt;Neuron&lt;/full-title&gt;&lt;/periodical&gt;&lt;pages&gt;384-398&lt;/pages&gt;&lt;volume&gt;56&lt;/volume&gt;&lt;number&gt;2&lt;/number&gt;&lt;dates&gt;&lt;year&gt;2007&lt;/year&gt;&lt;/dates&gt;&lt;isbn&gt;0896-6273&lt;/isbn&gt;&lt;urls&gt;&lt;/urls&gt;&lt;/record&gt;&lt;/Cite&gt;&lt;/EndNote&gt;</w:instrText>
      </w:r>
      <w:r w:rsidR="00FE1A19">
        <w:fldChar w:fldCharType="separate"/>
      </w:r>
      <w:r w:rsidR="00FE1A19">
        <w:rPr>
          <w:noProof/>
        </w:rPr>
        <w:t>(Dehaene &amp; Cohen, 2007)</w:t>
      </w:r>
      <w:r w:rsidR="00FE1A19">
        <w:fldChar w:fldCharType="end"/>
      </w:r>
      <w:r w:rsidR="007343C0">
        <w:t xml:space="preserve"> is highly compatible with </w:t>
      </w:r>
      <w:r>
        <w:t>Anderson’s</w:t>
      </w:r>
      <w:r w:rsidR="007343C0">
        <w:t xml:space="preserve"> theory of neural reuse</w:t>
      </w:r>
      <w:r w:rsidR="00834A95">
        <w:t xml:space="preserve"> </w:t>
      </w:r>
      <w:r w:rsidR="00FE1A19">
        <w:fldChar w:fldCharType="begin"/>
      </w:r>
      <w:r w:rsidR="00FE1A19">
        <w:instrText xml:space="preserve"> ADDIN EN.CITE &lt;EndNote&gt;&lt;Cite&gt;&lt;Author&gt;Anderson&lt;/Author&gt;&lt;Year&gt;2010&lt;/Year&gt;&lt;RecNum&gt;11453&lt;/RecNum&gt;&lt;DisplayText&gt;(Anderson, 2010)&lt;/DisplayText&gt;&lt;record&gt;&lt;rec-number&gt;11453&lt;/rec-number&gt;&lt;foreign-keys&gt;&lt;key app="EN" db-id="prewxt000rws29e2ta752dpgx0pdtfxr9za5" timestamp="1523638910"&gt;11453&lt;/key&gt;&lt;/foreign-keys&gt;&lt;ref-type name="Journal Article"&gt;17&lt;/ref-type&gt;&lt;contributors&gt;&lt;authors&gt;&lt;author&gt;Anderson, Michael L&lt;/author&gt;&lt;/authors&gt;&lt;/contributors&gt;&lt;titles&gt;&lt;title&gt;Neural reuse: A fundamental organizational principle of the brain&lt;/title&gt;&lt;secondary-title&gt;Behavioral and brain sciences&lt;/secondary-title&gt;&lt;/titles&gt;&lt;periodical&gt;&lt;full-title&gt;Behavioral and Brain Sciences&lt;/full-title&gt;&lt;/periodical&gt;&lt;pages&gt;245-266&lt;/pages&gt;&lt;volume&gt;33&lt;/volume&gt;&lt;number&gt;4&lt;/number&gt;&lt;dates&gt;&lt;year&gt;2010&lt;/year&gt;&lt;/dates&gt;&lt;isbn&gt;1469-1825&lt;/isbn&gt;&lt;urls&gt;&lt;/urls&gt;&lt;/record&gt;&lt;/Cite&gt;&lt;/EndNote&gt;</w:instrText>
      </w:r>
      <w:r w:rsidR="00FE1A19">
        <w:fldChar w:fldCharType="separate"/>
      </w:r>
      <w:r w:rsidR="00FE1A19">
        <w:rPr>
          <w:noProof/>
        </w:rPr>
        <w:t>(Anderson, 2010)</w:t>
      </w:r>
      <w:r w:rsidR="00FE1A19">
        <w:fldChar w:fldCharType="end"/>
      </w:r>
      <w:r w:rsidR="007343C0">
        <w:t xml:space="preserve">.  If an area can serve multiple functions in alternative configurations of functional neural circuits, then recycling can be directly supported during </w:t>
      </w:r>
      <w:r w:rsidR="00C94241">
        <w:t>ontogenesis</w:t>
      </w:r>
      <w:r w:rsidR="007343C0">
        <w:t>.</w:t>
      </w:r>
      <w:r w:rsidR="00762387">
        <w:t xml:space="preserve"> </w:t>
      </w:r>
      <w:r>
        <w:t xml:space="preserve">The theory of neural reuse can also be articulated in terms of the concepts of levels and constraints to the degree that particular functional circuits serve to instantiate specific levels of processing and consolidation, such as lexical activation, </w:t>
      </w:r>
      <w:r w:rsidR="002B2D88">
        <w:t>syntactic combination, reading, or memory for prose.</w:t>
      </w:r>
      <w:r>
        <w:t xml:space="preserve">  </w:t>
      </w:r>
    </w:p>
    <w:p w:rsidR="002B2D88" w:rsidRDefault="002B2D88"/>
    <w:p w:rsidR="00AB012B" w:rsidRDefault="002B2D88">
      <w:r>
        <w:t>In addition</w:t>
      </w:r>
      <w:r w:rsidR="00762387">
        <w:t xml:space="preserve">, </w:t>
      </w:r>
      <w:r>
        <w:t>the</w:t>
      </w:r>
      <w:r w:rsidR="00762387">
        <w:t xml:space="preserve"> developmental changes</w:t>
      </w:r>
      <w:r>
        <w:t xml:space="preserve"> envisioned by both neuronal recycling</w:t>
      </w:r>
      <w:r w:rsidR="00762387">
        <w:t xml:space="preserve"> </w:t>
      </w:r>
      <w:r>
        <w:t xml:space="preserve">and neural reuse often obey </w:t>
      </w:r>
      <w:r w:rsidR="00762387">
        <w:t xml:space="preserve">non-linear dynamics, as argued by the proponents of neuroconstructivism.  Developments on a given level often depend heavily on the establishment of preexisting </w:t>
      </w:r>
      <w:r w:rsidR="00762387">
        <w:lastRenderedPageBreak/>
        <w:t xml:space="preserve">conditions on other levels. For example, the differentiation of the tissues of the eye in the human embryo depends on inductive forces deriving from its original location next to the heart. Similarly, the early development of imprinting in </w:t>
      </w:r>
      <w:r>
        <w:t>precocial fow</w:t>
      </w:r>
      <w:r w:rsidR="00762387">
        <w:t>l and attachment in human ch</w:t>
      </w:r>
      <w:r w:rsidR="00B8056B">
        <w:t>ildren depend on the timing of availability of visual capabilities for accurate face recognition.  This means that neuroemergentism must provide an account that tracks the appearance of new levels through developmental time, just as Biology accounts for protein folding across f</w:t>
      </w:r>
      <w:r w:rsidR="002C2258">
        <w:t>our levels emerging</w:t>
      </w:r>
      <w:r w:rsidR="00B8056B">
        <w:t xml:space="preserve"> in a much shorter developmental time. </w:t>
      </w:r>
    </w:p>
    <w:p w:rsidR="00BE1F19" w:rsidRDefault="00BE1F19"/>
    <w:p w:rsidR="00BE1F19" w:rsidRDefault="00C94241">
      <w:r>
        <w:t>Recycling and exaptation involve related processes operating across contrasting timescales. Exaptation involves the emergence of new structures across an evolutionary timescale, whereas recycling invo</w:t>
      </w:r>
      <w:r w:rsidR="00834A95">
        <w:t>lves the emergence of new struc</w:t>
      </w:r>
      <w:r>
        <w:t xml:space="preserve">tures across an ontogenetic or epigenetic timescale. Dehaene cites the emergence of feathers in dinosaurs as involving the exaptation of scales for thermogenesis and sexual display.  As West-Eberhard </w:t>
      </w:r>
      <w:r w:rsidR="00FE1A19">
        <w:fldChar w:fldCharType="begin"/>
      </w:r>
      <w:r w:rsidR="00FE1A19">
        <w:instrText xml:space="preserve"> ADDIN EN.CITE &lt;EndNote&gt;&lt;Cite ExcludeAuth="1"&gt;&lt;Author&gt;West-Eberhard&lt;/Author&gt;&lt;Year&gt;2003&lt;/Year&gt;&lt;RecNum&gt;11440&lt;/RecNum&gt;&lt;DisplayText&gt;(2003)&lt;/DisplayText&gt;&lt;record&gt;&lt;rec-number&gt;11440&lt;/rec-number&gt;&lt;foreign-keys&gt;&lt;key app="EN" db-id="prewxt000rws29e2ta752dpgx0pdtfxr9za5" timestamp="1519332767"&gt;11440&lt;/key&gt;&lt;/foreign-keys&gt;&lt;ref-type name="Book"&gt;6&lt;/ref-type&gt;&lt;contributors&gt;&lt;authors&gt;&lt;author&gt;West-Eberhard, Mary Jane&lt;/author&gt;&lt;/authors&gt;&lt;/contributors&gt;&lt;titles&gt;&lt;title&gt;Developmental plasticity and evolution&lt;/title&gt;&lt;/titles&gt;&lt;dates&gt;&lt;year&gt;2003&lt;/year&gt;&lt;/dates&gt;&lt;publisher&gt;Oxford University Press&lt;/publisher&gt;&lt;isbn&gt;0198028563&lt;/isbn&gt;&lt;urls&gt;&lt;/urls&gt;&lt;/record&gt;&lt;/Cite&gt;&lt;/EndNote&gt;</w:instrText>
      </w:r>
      <w:r w:rsidR="00FE1A19">
        <w:fldChar w:fldCharType="separate"/>
      </w:r>
      <w:r w:rsidR="00FE1A19">
        <w:rPr>
          <w:noProof/>
        </w:rPr>
        <w:t>(2003)</w:t>
      </w:r>
      <w:r w:rsidR="00FE1A19">
        <w:fldChar w:fldCharType="end"/>
      </w:r>
      <w:r w:rsidR="00D34A52">
        <w:t xml:space="preserve"> </w:t>
      </w:r>
      <w:r>
        <w:t xml:space="preserve">emphasizes, </w:t>
      </w:r>
      <w:r w:rsidR="009849AC">
        <w:t>it is the</w:t>
      </w:r>
      <w:r w:rsidR="004003A3">
        <w:t xml:space="preserve"> phenotype </w:t>
      </w:r>
      <w:r w:rsidR="009849AC">
        <w:t xml:space="preserve">that </w:t>
      </w:r>
      <w:r w:rsidR="004003A3">
        <w:t xml:space="preserve">is the locus of evolution.  </w:t>
      </w:r>
      <w:r w:rsidR="002C2258">
        <w:t>P</w:t>
      </w:r>
      <w:r w:rsidR="004003A3">
        <w:t>henotypic variations arise from</w:t>
      </w:r>
      <w:r>
        <w:t xml:space="preserve"> complex processes during ontogenesis, including niche changes, sexual dimorphism, </w:t>
      </w:r>
      <w:r w:rsidR="000D29C0">
        <w:t xml:space="preserve">the Baldwin effect, </w:t>
      </w:r>
      <w:r w:rsidR="004003A3">
        <w:t xml:space="preserve">and </w:t>
      </w:r>
      <w:r>
        <w:t xml:space="preserve">gene expression, </w:t>
      </w:r>
      <w:r w:rsidR="004003A3">
        <w:t>as well as recycling</w:t>
      </w:r>
      <w:r w:rsidR="00595E63">
        <w:t xml:space="preserve"> and reuse. </w:t>
      </w:r>
      <w:r>
        <w:t xml:space="preserve">When </w:t>
      </w:r>
      <w:r w:rsidR="002C2258">
        <w:t>they are</w:t>
      </w:r>
      <w:r>
        <w:t xml:space="preserve"> competitively successful, recycling </w:t>
      </w:r>
      <w:r w:rsidR="00595E63">
        <w:t xml:space="preserve">and reuse </w:t>
      </w:r>
      <w:r>
        <w:t>dur</w:t>
      </w:r>
      <w:r w:rsidR="008049BF">
        <w:t xml:space="preserve">ing the lifetime of individuals is linked to structural variations that then </w:t>
      </w:r>
      <w:r>
        <w:t xml:space="preserve">diffuse to </w:t>
      </w:r>
      <w:r w:rsidR="002C2258">
        <w:t>the overall gene pool</w:t>
      </w:r>
      <w:r>
        <w:t xml:space="preserve">, producing exaptation in the species.  </w:t>
      </w:r>
      <w:r w:rsidR="002C2258">
        <w:t xml:space="preserve">In human evolution, </w:t>
      </w:r>
      <w:r>
        <w:t>individuals who were able to make greater use of gesture,</w:t>
      </w:r>
      <w:r w:rsidR="004003A3">
        <w:t xml:space="preserve"> gaze contact,</w:t>
      </w:r>
      <w:r>
        <w:t xml:space="preserve"> </w:t>
      </w:r>
      <w:r w:rsidR="004003A3">
        <w:t>referencing</w:t>
      </w:r>
      <w:r>
        <w:t xml:space="preserve">, </w:t>
      </w:r>
      <w:r w:rsidR="004003A3">
        <w:t xml:space="preserve">and cooperative behaviors gained a reproductive advantage, leading </w:t>
      </w:r>
      <w:r w:rsidR="008049BF">
        <w:t xml:space="preserve">eventually </w:t>
      </w:r>
      <w:r w:rsidR="004003A3">
        <w:t>to exaptation of these skills as supports for the emergence of spoken language.</w:t>
      </w:r>
    </w:p>
    <w:p w:rsidR="008049BF" w:rsidRDefault="008049BF"/>
    <w:p w:rsidR="009849AC" w:rsidRPr="009849AC" w:rsidRDefault="008049BF" w:rsidP="009849AC">
      <w:r>
        <w:t xml:space="preserve">Hernandez </w:t>
      </w:r>
      <w:r w:rsidR="00834A95">
        <w:t>et al. question</w:t>
      </w:r>
      <w:r>
        <w:t xml:space="preserve"> whether </w:t>
      </w:r>
      <w:r w:rsidR="009849AC">
        <w:t>exaptational processes, as formulated by Dehaene, would be sufficient to account for major evolutionary shifts in human cognition without relying more clearly on non-linear dynamical processes.  He points out that s</w:t>
      </w:r>
      <w:r w:rsidR="009849AC" w:rsidRPr="009849AC">
        <w:t xml:space="preserve">mall changes in basic systems </w:t>
      </w:r>
      <w:r w:rsidR="009849AC">
        <w:t xml:space="preserve">may </w:t>
      </w:r>
      <w:r w:rsidR="009849AC" w:rsidRPr="009849AC">
        <w:t>lead to big consequences</w:t>
      </w:r>
      <w:r w:rsidR="009849AC">
        <w:t xml:space="preserve">. One idea that is very much in line with this is the emphasis that Hauser, Chomsky, and Fitch </w:t>
      </w:r>
      <w:r w:rsidR="00FE1A19">
        <w:fldChar w:fldCharType="begin"/>
      </w:r>
      <w:r w:rsidR="00FE1A19">
        <w:instrText xml:space="preserve"> ADDIN EN.CITE &lt;EndNote&gt;&lt;Cite ExcludeAuth="1"&gt;&lt;Author&gt;Hauser&lt;/Author&gt;&lt;Year&gt;2002&lt;/Year&gt;&lt;RecNum&gt;8349&lt;/RecNum&gt;&lt;DisplayText&gt;(2002)&lt;/DisplayText&gt;&lt;record&gt;&lt;rec-number&gt;8349&lt;/rec-number&gt;&lt;foreign-keys&gt;&lt;key app="EN" db-id="prewxt000rws29e2ta752dpgx0pdtfxr9za5" timestamp="1516923192"&gt;8349&lt;/key&gt;&lt;/foreign-keys&gt;&lt;ref-type name="Journal Article"&gt;17&lt;/ref-type&gt;&lt;contributors&gt;&lt;authors&gt;&lt;author&gt;Hauser, M.&lt;/author&gt;&lt;author&gt;Chomsky, Noam&lt;/author&gt;&lt;author&gt;Fitch, T.&lt;/author&gt;&lt;/authors&gt;&lt;/contributors&gt;&lt;titles&gt;&lt;title&gt;The faculty of language: What is it, who has it, and how did it evolve?&lt;/title&gt;&lt;secondary-title&gt;Science&lt;/secondary-title&gt;&lt;/titles&gt;&lt;periodical&gt;&lt;full-title&gt;Science&lt;/full-title&gt;&lt;/periodical&gt;&lt;pages&gt;1569-1579&lt;/pages&gt;&lt;volume&gt;298&lt;/volume&gt;&lt;dates&gt;&lt;year&gt;2002&lt;/year&gt;&lt;/dates&gt;&lt;urls&gt;&lt;/urls&gt;&lt;/record&gt;&lt;/Cite&gt;&lt;/EndNote&gt;</w:instrText>
      </w:r>
      <w:r w:rsidR="00FE1A19">
        <w:fldChar w:fldCharType="separate"/>
      </w:r>
      <w:r w:rsidR="00FE1A19">
        <w:rPr>
          <w:noProof/>
        </w:rPr>
        <w:t>(2002)</w:t>
      </w:r>
      <w:r w:rsidR="00FE1A19">
        <w:fldChar w:fldCharType="end"/>
      </w:r>
      <w:r w:rsidR="002C2258">
        <w:t xml:space="preserve"> </w:t>
      </w:r>
      <w:r w:rsidR="009849AC">
        <w:t xml:space="preserve">placed on the emergence of recursion as the determinant of unique features of human language, and possibly cognition more generally </w:t>
      </w:r>
      <w:r w:rsidR="00FE1A19">
        <w:fldChar w:fldCharType="begin"/>
      </w:r>
      <w:r w:rsidR="00FE1A19">
        <w:instrText xml:space="preserve"> ADDIN EN.CITE &lt;EndNote&gt;&lt;Cite&gt;&lt;Author&gt;Mithen&lt;/Author&gt;&lt;Year&gt;1996&lt;/Year&gt;&lt;RecNum&gt;8313&lt;/RecNum&gt;&lt;DisplayText&gt;(Mithen, 1996)&lt;/DisplayText&gt;&lt;record&gt;&lt;rec-number&gt;8313&lt;/rec-number&gt;&lt;foreign-keys&gt;&lt;key app="EN" db-id="prewxt000rws29e2ta752dpgx0pdtfxr9za5" timestamp="1516923192"&gt;8313&lt;/key&gt;&lt;/foreign-keys&gt;&lt;ref-type name="Book"&gt;6&lt;/ref-type&gt;&lt;contributors&gt;&lt;authors&gt;&lt;author&gt;Mithen, S.&lt;/author&gt;&lt;/authors&gt;&lt;/contributors&gt;&lt;titles&gt;&lt;title&gt;The prehistory of the mind: The cognitive origins of art, religion, and science&lt;/title&gt;&lt;/titles&gt;&lt;dates&gt;&lt;year&gt;1996&lt;/year&gt;&lt;/dates&gt;&lt;pub-location&gt;London&lt;/pub-location&gt;&lt;publisher&gt;Thames and Hudson&lt;/publisher&gt;&lt;urls&gt;&lt;/urls&gt;&lt;/record&gt;&lt;/Cite&gt;&lt;/EndNote&gt;</w:instrText>
      </w:r>
      <w:r w:rsidR="00FE1A19">
        <w:fldChar w:fldCharType="separate"/>
      </w:r>
      <w:r w:rsidR="00FE1A19">
        <w:rPr>
          <w:noProof/>
        </w:rPr>
        <w:t>(Mithen, 1996)</w:t>
      </w:r>
      <w:r w:rsidR="00FE1A19">
        <w:fldChar w:fldCharType="end"/>
      </w:r>
      <w:r w:rsidR="002C2258">
        <w:t xml:space="preserve">. </w:t>
      </w:r>
      <w:r w:rsidR="009849AC">
        <w:t>This idea certainly fits in well with the overall emphasis in emergentism on structural determination through emergent levels.  After all, if the mere combination of two hydrogen atoms with one oxygen atom can lead to such profound consequences for the climate of our planet, it could be that the emergence of recursion could have a similar effect for language, thought, and culture.  However, there are many alternative emergentist scenarios for these developments</w:t>
      </w:r>
      <w:r w:rsidR="00D34A52">
        <w:t xml:space="preserve"> </w:t>
      </w:r>
      <w:r w:rsidR="00FE1A19">
        <w:fldChar w:fldCharType="begin"/>
      </w:r>
      <w:r w:rsidR="00FE1A19">
        <w:instrText xml:space="preserve"> ADDIN EN.CITE &lt;EndNote&gt;&lt;Cite&gt;&lt;Author&gt;MacWhinney&lt;/Author&gt;&lt;Year&gt;2005&lt;/Year&gt;&lt;RecNum&gt;8655&lt;/RecNum&gt;&lt;DisplayText&gt;(MacWhinney, 2005)&lt;/DisplayText&gt;&lt;record&gt;&lt;rec-number&gt;8655&lt;/rec-number&gt;&lt;foreign-keys&gt;&lt;key app="EN" db-id="prewxt000rws29e2ta752dpgx0pdtfxr9za5" timestamp="1517256364"&gt;8655&lt;/key&gt;&lt;key app="ENWeb" db-id=""&gt;0&lt;/key&gt;&lt;/foreign-keys&gt;&lt;ref-type name="Book Section"&gt;5&lt;/ref-type&gt;&lt;contributors&gt;&lt;authors&gt;&lt;author&gt;MacWhinney, Brian&lt;/author&gt;&lt;/authors&gt;&lt;secondary-authors&gt;&lt;author&gt;Ellis, B.&lt;/author&gt;&lt;author&gt;Bjorklund, D.&lt;/author&gt;&lt;/secondary-authors&gt;&lt;/contributors&gt;&lt;titles&gt;&lt;title&gt;Language evolution and human development&lt;/title&gt;&lt;secondary-title&gt;Origins of the social mind&lt;/secondary-title&gt;&lt;/titles&gt;&lt;pages&gt;383-410&lt;/pages&gt;&lt;keywords&gt;&lt;keyword&gt;Emergentism&lt;/keyword&gt;&lt;keyword&gt;Evolution&lt;/keyword&gt;&lt;/keywords&gt;&lt;dates&gt;&lt;year&gt;2005&lt;/year&gt;&lt;/dates&gt;&lt;pub-location&gt;New York, NY&lt;/pub-location&gt;&lt;publisher&gt;Guilford&lt;/publisher&gt;&lt;urls&gt;&lt;related-urls&gt;&lt;url&gt;https://psyling.talkbank.org/years/2005/evoldev.pdf&lt;/url&gt;&lt;/related-urls&gt;&lt;/urls&gt;&lt;/record&gt;&lt;/Cite&gt;&lt;/EndNote&gt;</w:instrText>
      </w:r>
      <w:r w:rsidR="00FE1A19">
        <w:fldChar w:fldCharType="separate"/>
      </w:r>
      <w:r w:rsidR="00FE1A19">
        <w:rPr>
          <w:noProof/>
        </w:rPr>
        <w:t>(MacWhinney, 2005)</w:t>
      </w:r>
      <w:r w:rsidR="00FE1A19">
        <w:fldChar w:fldCharType="end"/>
      </w:r>
      <w:r w:rsidR="009849AC">
        <w:t xml:space="preserve">, as well as good reasons to doubt that recursion alone has had this type of impact </w:t>
      </w:r>
      <w:r w:rsidR="00FE1A19">
        <w:fldChar w:fldCharType="begin"/>
      </w:r>
      <w:r w:rsidR="00FE1A19">
        <w:instrText xml:space="preserve"> ADDIN EN.CITE &lt;EndNote&gt;&lt;Cite&gt;&lt;Author&gt;Everett&lt;/Author&gt;&lt;Year&gt;2015&lt;/Year&gt;&lt;RecNum&gt;10711&lt;/RecNum&gt;&lt;DisplayText&gt;(Everett, 2015)&lt;/DisplayText&gt;&lt;record&gt;&lt;rec-number&gt;10711&lt;/rec-number&gt;&lt;foreign-keys&gt;&lt;key app="EN" db-id="prewxt000rws29e2ta752dpgx0pdtfxr9za5" timestamp="1516923278"&gt;10711&lt;/key&gt;&lt;/foreign-keys&gt;&lt;ref-type name="Book Section"&gt;5&lt;/ref-type&gt;&lt;contributors&gt;&lt;authors&gt;&lt;author&gt;Everett, Daniel&lt;/author&gt;&lt;/authors&gt;&lt;secondary-authors&gt;&lt;author&gt;MacWhinney, Brian&lt;/author&gt;&lt;author&gt;O&amp;apos;Grady, William&lt;/author&gt;&lt;/secondary-authors&gt;&lt;/contributors&gt;&lt;titles&gt;&lt;title&gt;The role of culture in the emergence of language&lt;/title&gt;&lt;secondary-title&gt;The handbook of language emergence&lt;/secondary-title&gt;&lt;/titles&gt;&lt;pages&gt;354-376&lt;/pages&gt;&lt;dates&gt;&lt;year&gt;2015&lt;/year&gt;&lt;/dates&gt;&lt;pub-location&gt;New York, NY&lt;/pub-location&gt;&lt;publisher&gt;Wiley&lt;/publisher&gt;&lt;urls&gt;&lt;/urls&gt;&lt;/record&gt;&lt;/Cite&gt;&lt;/EndNote&gt;</w:instrText>
      </w:r>
      <w:r w:rsidR="00FE1A19">
        <w:fldChar w:fldCharType="separate"/>
      </w:r>
      <w:r w:rsidR="00FE1A19">
        <w:rPr>
          <w:noProof/>
        </w:rPr>
        <w:t>(Everett, 2015)</w:t>
      </w:r>
      <w:r w:rsidR="00FE1A19">
        <w:fldChar w:fldCharType="end"/>
      </w:r>
      <w:r w:rsidR="00D34A52">
        <w:t>.</w:t>
      </w:r>
      <w:r w:rsidR="002C2258">
        <w:t xml:space="preserve">  Although it is difficult to falsify emergentism, it is certainly possible to falsify particular emergentist accounts.</w:t>
      </w:r>
    </w:p>
    <w:p w:rsidR="00AB012B" w:rsidRDefault="00AB012B"/>
    <w:p w:rsidR="00AB012B" w:rsidRDefault="00AB012B">
      <w:r>
        <w:t xml:space="preserve">The fastest moving language processes are those involving online conversational processing. </w:t>
      </w:r>
      <w:r w:rsidR="00C94325">
        <w:t>When we start to speak</w:t>
      </w:r>
      <w:r>
        <w:t xml:space="preserve">, all the structures that have been shaped through genetics, epigenetics, and consolidation come into play in a highly competitive (but also cooperative) fashion.  </w:t>
      </w:r>
      <w:r w:rsidR="00E534BB">
        <w:t xml:space="preserve">As Hernandez </w:t>
      </w:r>
      <w:r w:rsidR="00834A95">
        <w:t xml:space="preserve">et al. </w:t>
      </w:r>
      <w:r w:rsidR="00E534BB">
        <w:t xml:space="preserve">points out, </w:t>
      </w:r>
      <w:r w:rsidR="00BE1F19">
        <w:t>bilingual processing shows us how the intense competition between two languages can be resolved through the growth of higher levels of attentional control</w:t>
      </w:r>
      <w:r w:rsidR="00C94325">
        <w:t>. This control allows bilinguals</w:t>
      </w:r>
      <w:r w:rsidR="00BE1F19">
        <w:t xml:space="preserve"> to shift between languages in different contexts or </w:t>
      </w:r>
      <w:r w:rsidR="00C94325">
        <w:t>within a single conversation through</w:t>
      </w:r>
      <w:r w:rsidR="00BE1F19">
        <w:t xml:space="preserve"> code-switching. A fully explanatory neuroemergentist account of </w:t>
      </w:r>
      <w:r w:rsidR="00BE1F19">
        <w:lastRenderedPageBreak/>
        <w:t xml:space="preserve">code-switching will need to explain how conversations, utterances, words, and sounds are formed in each of a bilingual’s languages and then interleaved during online processing.  </w:t>
      </w:r>
      <w:r w:rsidR="00C94325">
        <w:t xml:space="preserve">In code-switching, the choice of a given language at a particular moment in time can be influenced by fast-moving processes such as the speed of lexical access or pressures from surrounding syntactic frames, as well as slow-moving processes such as the need to express solidarity with a particular language community. In order to understand the emergence of these complex structures during processing, we need to consider how all of these many sources of information are integrated smoothly online. Speakers with language disorders such as stuttering, aphasia, dementia, or Specific Language Impairment, as well as learners of a second language,  may encounter particular problems achieving the type of smooth neuronal processing integration required for full fluency.  Studies of  these problems can help us understand the ways in which genetics, epigenetics, ontogenesis, consolidation, and processing interact at the moment of speaking.  </w:t>
      </w:r>
      <w:r w:rsidR="008972D3">
        <w:t>The</w:t>
      </w:r>
      <w:r w:rsidR="00C94325">
        <w:t xml:space="preserve"> process of online information integration </w:t>
      </w:r>
      <w:r w:rsidR="008972D3">
        <w:t>can</w:t>
      </w:r>
      <w:r w:rsidR="00C94325">
        <w:t xml:space="preserve"> depend on the mechanisms of summed activation characterized in </w:t>
      </w:r>
      <w:r w:rsidR="008972D3">
        <w:t>neural network models along with processes that allow decisions to cross over gates and thresholds</w:t>
      </w:r>
      <w:r w:rsidR="00D34A52">
        <w:t xml:space="preserve"> </w:t>
      </w:r>
      <w:r w:rsidR="00FE1A19">
        <w:fldChar w:fldCharType="begin"/>
      </w:r>
      <w:r w:rsidR="00FE1A19">
        <w:instrText xml:space="preserve"> ADDIN EN.CITE &lt;EndNote&gt;&lt;Cite&gt;&lt;Author&gt;Ratcliff&lt;/Author&gt;&lt;Year&gt;2016&lt;/Year&gt;&lt;RecNum&gt;11442&lt;/RecNum&gt;&lt;DisplayText&gt;(Ratcliff, Smith, Brown, &amp;amp; McKoon, 2016)&lt;/DisplayText&gt;&lt;record&gt;&lt;rec-number&gt;11442&lt;/rec-number&gt;&lt;foreign-keys&gt;&lt;key app="EN" db-id="prewxt000rws29e2ta752dpgx0pdtfxr9za5" timestamp="1519332767"&gt;11442&lt;/key&gt;&lt;/foreign-keys&gt;&lt;ref-type name="Journal Article"&gt;17&lt;/ref-type&gt;&lt;contributors&gt;&lt;authors&gt;&lt;author&gt;Ratcliff, Roger&lt;/author&gt;&lt;author&gt;Smith, Philip L&lt;/author&gt;&lt;author&gt;Brown, Scott D&lt;/author&gt;&lt;author&gt;McKoon, Gail&lt;/author&gt;&lt;/authors&gt;&lt;/contributors&gt;&lt;titles&gt;&lt;title&gt;Diffusion decision model: current issues and history&lt;/title&gt;&lt;secondary-title&gt;Trends in cognitive sciences&lt;/secondary-title&gt;&lt;/titles&gt;&lt;periodical&gt;&lt;full-title&gt;Trends in Cognitive Sciences&lt;/full-title&gt;&lt;/periodical&gt;&lt;pages&gt;260-281&lt;/pages&gt;&lt;volume&gt;20&lt;/volume&gt;&lt;number&gt;4&lt;/number&gt;&lt;dates&gt;&lt;year&gt;2016&lt;/year&gt;&lt;/dates&gt;&lt;isbn&gt;1364-6613&lt;/isbn&gt;&lt;urls&gt;&lt;/urls&gt;&lt;/record&gt;&lt;/Cite&gt;&lt;/EndNote&gt;</w:instrText>
      </w:r>
      <w:r w:rsidR="00FE1A19">
        <w:fldChar w:fldCharType="separate"/>
      </w:r>
      <w:r w:rsidR="00FE1A19">
        <w:rPr>
          <w:noProof/>
        </w:rPr>
        <w:t>(Ratcliff, Smith, Brown, &amp; McKoon, 2016)</w:t>
      </w:r>
      <w:r w:rsidR="00FE1A19">
        <w:fldChar w:fldCharType="end"/>
      </w:r>
      <w:r w:rsidR="008972D3">
        <w:t xml:space="preserve"> to allow the ontime arrival of information from diverse areas of the brain.  Studies of speech errors in normal speakers can reveal some of the forces that can put stresses on this system.  </w:t>
      </w:r>
    </w:p>
    <w:p w:rsidR="00C94325" w:rsidRDefault="00C94325"/>
    <w:p w:rsidR="009C60C7" w:rsidRDefault="00595E63" w:rsidP="009C60C7">
      <w:r>
        <w:t xml:space="preserve">Christiansen and Chater </w:t>
      </w:r>
      <w:r w:rsidR="00FE1A19">
        <w:fldChar w:fldCharType="begin"/>
      </w:r>
      <w:r w:rsidR="00FE1A19">
        <w:instrText xml:space="preserve"> ADDIN EN.CITE &lt;EndNote&gt;&lt;Cite ExcludeAuth="1"&gt;&lt;Author&gt;Christiansen&lt;/Author&gt;&lt;Year&gt;2008&lt;/Year&gt;&lt;RecNum&gt;9879&lt;/RecNum&gt;&lt;DisplayText&gt;(2008)&lt;/DisplayText&gt;&lt;record&gt;&lt;rec-number&gt;9879&lt;/rec-number&gt;&lt;foreign-keys&gt;&lt;key app="EN" db-id="prewxt000rws29e2ta752dpgx0pdtfxr9za5" timestamp="1516923243"&gt;9879&lt;/key&gt;&lt;/foreign-keys&gt;&lt;ref-type name="Journal Article"&gt;17&lt;/ref-type&gt;&lt;contributors&gt;&lt;authors&gt;&lt;author&gt;Christiansen, M.&lt;/author&gt;&lt;author&gt;Chater, N.&lt;/author&gt;&lt;/authors&gt;&lt;/contributors&gt;&lt;titles&gt;&lt;title&gt;Language as shaped by the brain&lt;/title&gt;&lt;secondary-title&gt;Behavioral and Brain Sciences&lt;/secondary-title&gt;&lt;/titles&gt;&lt;periodical&gt;&lt;full-title&gt;Behavioral and Brain Sciences&lt;/full-title&gt;&lt;/periodical&gt;&lt;pages&gt;489-558&lt;/pages&gt;&lt;volume&gt;31&lt;/volume&gt;&lt;dates&gt;&lt;year&gt;2008&lt;/year&gt;&lt;/dates&gt;&lt;urls&gt;&lt;/urls&gt;&lt;/record&gt;&lt;/Cite&gt;&lt;/EndNote&gt;</w:instrText>
      </w:r>
      <w:r w:rsidR="00FE1A19">
        <w:fldChar w:fldCharType="separate"/>
      </w:r>
      <w:r w:rsidR="00FE1A19">
        <w:rPr>
          <w:noProof/>
        </w:rPr>
        <w:t>(2008)</w:t>
      </w:r>
      <w:r w:rsidR="00FE1A19">
        <w:fldChar w:fldCharType="end"/>
      </w:r>
      <w:r w:rsidR="003803F4">
        <w:t xml:space="preserve"> </w:t>
      </w:r>
      <w:r w:rsidR="00885154">
        <w:t xml:space="preserve">(C&amp;C) </w:t>
      </w:r>
      <w:r w:rsidR="002C2258">
        <w:t>argue that</w:t>
      </w:r>
      <w:r>
        <w:t xml:space="preserve"> language is shaped by </w:t>
      </w:r>
      <w:r w:rsidR="0065001D">
        <w:t>the brain</w:t>
      </w:r>
      <w:r>
        <w:t>.</w:t>
      </w:r>
      <w:r w:rsidR="002C2258">
        <w:t xml:space="preserve"> T</w:t>
      </w:r>
      <w:r w:rsidR="0065001D">
        <w:t xml:space="preserve">hey view language structure as </w:t>
      </w:r>
      <w:r w:rsidR="002C2258">
        <w:t>arising from earlier structures</w:t>
      </w:r>
      <w:r w:rsidR="0065001D">
        <w:t xml:space="preserve">, much as protein structures arise from an underlying substrate of polypeptide chains. </w:t>
      </w:r>
      <w:r>
        <w:t xml:space="preserve">  </w:t>
      </w:r>
      <w:r w:rsidR="00193B42">
        <w:t>They</w:t>
      </w:r>
      <w:r w:rsidR="009C60C7">
        <w:t xml:space="preserve"> list a variety of cognitive, perceptuo-motor, learning, and pragmatic constraints that determine various aspects of language form.  </w:t>
      </w:r>
      <w:r w:rsidR="002C2258">
        <w:t>Their</w:t>
      </w:r>
      <w:r w:rsidR="009C60C7">
        <w:t xml:space="preserve"> </w:t>
      </w:r>
      <w:r w:rsidR="00193B42">
        <w:t xml:space="preserve">analysis </w:t>
      </w:r>
      <w:r w:rsidR="009C60C7">
        <w:t>echoes the earlier formulation from MacWhinney</w:t>
      </w:r>
      <w:r w:rsidR="00885154">
        <w:t xml:space="preserve">, Bates, and Kliegl </w:t>
      </w:r>
      <w:r w:rsidR="00FE1A19">
        <w:fldChar w:fldCharType="begin"/>
      </w:r>
      <w:r w:rsidR="00FE1A19">
        <w:instrText xml:space="preserve"> ADDIN EN.CITE &lt;EndNote&gt;&lt;Cite ExcludeAuth="1"&gt;&lt;Author&gt;MacWhinney&lt;/Author&gt;&lt;Year&gt;1984&lt;/Year&gt;&lt;RecNum&gt;2582&lt;/RecNum&gt;&lt;DisplayText&gt;(1984)&lt;/DisplayText&gt;&lt;record&gt;&lt;rec-number&gt;2582&lt;/rec-number&gt;&lt;foreign-keys&gt;&lt;key app="EN" db-id="prewxt000rws29e2ta752dpgx0pdtfxr9za5" timestamp="1517256364"&gt;2582&lt;/key&gt;&lt;key app="ENWeb" db-id=""&gt;0&lt;/key&gt;&lt;/foreign-keys&gt;&lt;ref-type name="Journal Article"&gt;17&lt;/ref-type&gt;&lt;contributors&gt;&lt;authors&gt;&lt;author&gt;MacWhinney, Brian&lt;/author&gt;&lt;author&gt;Bates, Elizabeth&lt;/author&gt;&lt;author&gt;Kliegl, Reinhold&lt;/author&gt;&lt;/authors&gt;&lt;/contributors&gt;&lt;titles&gt;&lt;title&gt;Cue validity and sentence interpretation in English, German, and Italian&lt;/title&gt;&lt;secondary-title&gt;Journal of Verbal Learning and Verbal Behavior&lt;/secondary-title&gt;&lt;/titles&gt;&lt;periodical&gt;&lt;full-title&gt;Journal of Verbal Learning and Verbal Behavior&lt;/full-title&gt;&lt;/periodical&gt;&lt;pages&gt;127-150&lt;/pages&gt;&lt;volume&gt;23&lt;/volume&gt;&lt;keywords&gt;&lt;keyword&gt;CM&lt;/keyword&gt;&lt;/keywords&gt;&lt;dates&gt;&lt;year&gt;1984&lt;/year&gt;&lt;/dates&gt;&lt;urls&gt;&lt;related-urls&gt;&lt;url&gt;https://psyling.talkbank.org/years/1984/cueval.pdf&lt;/url&gt;&lt;/related-urls&gt;&lt;/urls&gt;&lt;/record&gt;&lt;/Cite&gt;&lt;/EndNote&gt;</w:instrText>
      </w:r>
      <w:r w:rsidR="00FE1A19">
        <w:fldChar w:fldCharType="separate"/>
      </w:r>
      <w:r w:rsidR="00FE1A19">
        <w:rPr>
          <w:noProof/>
        </w:rPr>
        <w:t>(1984)</w:t>
      </w:r>
      <w:r w:rsidR="00FE1A19">
        <w:fldChar w:fldCharType="end"/>
      </w:r>
      <w:r w:rsidR="003803F4">
        <w:t xml:space="preserve"> </w:t>
      </w:r>
      <w:r w:rsidR="009C60C7">
        <w:t>that “t</w:t>
      </w:r>
      <w:r w:rsidR="009C60C7" w:rsidRPr="009C60C7">
        <w:t>he forms of natural </w:t>
      </w:r>
      <w:r w:rsidR="009C60C7" w:rsidRPr="009C60C7">
        <w:rPr>
          <w:bCs/>
        </w:rPr>
        <w:t>languages</w:t>
      </w:r>
      <w:r w:rsidR="009C60C7" w:rsidRPr="009C60C7">
        <w:t> are created, governed, constrained, acquired and used in the service of communicative functions.”</w:t>
      </w:r>
      <w:r w:rsidR="009C60C7">
        <w:t xml:space="preserve"> </w:t>
      </w:r>
      <w:r w:rsidR="002C2258">
        <w:t xml:space="preserve">However, </w:t>
      </w:r>
      <w:r w:rsidR="00885154">
        <w:t>C&amp;C’s</w:t>
      </w:r>
      <w:r w:rsidR="009C60C7">
        <w:t xml:space="preserve"> formulation </w:t>
      </w:r>
      <w:r w:rsidR="002C2258">
        <w:t xml:space="preserve">of neuroemergentism </w:t>
      </w:r>
      <w:r w:rsidR="009C60C7">
        <w:t xml:space="preserve">extends this </w:t>
      </w:r>
      <w:r w:rsidR="00885154">
        <w:t>analysis</w:t>
      </w:r>
      <w:r w:rsidR="009C60C7">
        <w:t xml:space="preserve"> by noting that communicative functions must be processed through the brain.  </w:t>
      </w:r>
      <w:r w:rsidR="00885154">
        <w:t xml:space="preserve">Moreover, C&amp;C propose several core constraints linked to levels of language processing.  They note that comprehension is constrained by incrementalism </w:t>
      </w:r>
      <w:r w:rsidR="00FE1A19">
        <w:fldChar w:fldCharType="begin"/>
      </w:r>
      <w:r w:rsidR="00FE1A19">
        <w:instrText xml:space="preserve"> ADDIN EN.CITE &lt;EndNote&gt;&lt;Cite&gt;&lt;Author&gt;O&amp;apos;Grady&lt;/Author&gt;&lt;Year&gt;2015&lt;/Year&gt;&lt;RecNum&gt;10700&lt;/RecNum&gt;&lt;DisplayText&gt;(O&amp;apos;Grady, 2015)&lt;/DisplayText&gt;&lt;record&gt;&lt;rec-number&gt;10700&lt;/rec-number&gt;&lt;foreign-keys&gt;&lt;key app="EN" db-id="prewxt000rws29e2ta752dpgx0pdtfxr9za5" timestamp="1516923278"&gt;10700&lt;/key&gt;&lt;/foreign-keys&gt;&lt;ref-type name="Book Section"&gt;5&lt;/ref-type&gt;&lt;contributors&gt;&lt;authors&gt;&lt;author&gt;O&amp;apos;Grady, William&lt;/author&gt;&lt;/authors&gt;&lt;secondary-authors&gt;&lt;author&gt;MacWhinney, Brian&lt;/author&gt;&lt;author&gt;O&amp;apos;Grady, William&lt;/author&gt;&lt;/secondary-authors&gt;&lt;/contributors&gt;&lt;titles&gt;&lt;title&gt;Anaphora and the case for emergentism&lt;/title&gt;&lt;secondary-title&gt;The handbook of language emergence&lt;/secondary-title&gt;&lt;/titles&gt;&lt;pages&gt;100-122&lt;/pages&gt;&lt;dates&gt;&lt;year&gt;2015&lt;/year&gt;&lt;/dates&gt;&lt;pub-location&gt;New York, NY&lt;/pub-location&gt;&lt;publisher&gt;Wiley&lt;/publisher&gt;&lt;urls&gt;&lt;/urls&gt;&lt;/record&gt;&lt;/Cite&gt;&lt;/EndNote&gt;</w:instrText>
      </w:r>
      <w:r w:rsidR="00FE1A19">
        <w:fldChar w:fldCharType="separate"/>
      </w:r>
      <w:r w:rsidR="00FE1A19">
        <w:rPr>
          <w:noProof/>
        </w:rPr>
        <w:t>(O'Grady, 2015)</w:t>
      </w:r>
      <w:r w:rsidR="00FE1A19">
        <w:fldChar w:fldCharType="end"/>
      </w:r>
      <w:r w:rsidR="003803F4">
        <w:t xml:space="preserve">, </w:t>
      </w:r>
      <w:r w:rsidR="00885154">
        <w:t>that articulatory phonology is constrained by the shape of the vocal apparatus, that pattern learning is constrained by mechanisms in Broca’s area, that patterns of anaphora are cons</w:t>
      </w:r>
      <w:r w:rsidR="00193B42">
        <w:t>trained by pragmatic preemption, and that the emergence of consistent word orders in language facilitates learning and consolidation</w:t>
      </w:r>
      <w:r w:rsidR="00885154">
        <w:t xml:space="preserve">. </w:t>
      </w:r>
      <w:r w:rsidR="00193B42">
        <w:t xml:space="preserve">Their view of language as shaped by the brain is </w:t>
      </w:r>
      <w:r w:rsidR="003803F4">
        <w:t>fundamentally</w:t>
      </w:r>
      <w:r w:rsidR="00193B42">
        <w:t xml:space="preserve"> compatible with neuroemergentism, as well as </w:t>
      </w:r>
      <w:r w:rsidR="003803F4">
        <w:t xml:space="preserve">with </w:t>
      </w:r>
      <w:r w:rsidR="00193B42">
        <w:t xml:space="preserve">the ongoing emphasis within functional linguistics on language as emerging from </w:t>
      </w:r>
      <w:r w:rsidR="002C2258">
        <w:t xml:space="preserve">multiple </w:t>
      </w:r>
      <w:r w:rsidR="00193B42">
        <w:t xml:space="preserve">competing constraints </w:t>
      </w:r>
      <w:r w:rsidR="00FE1A19">
        <w:fldChar w:fldCharType="begin"/>
      </w:r>
      <w:r w:rsidR="00FE1A19">
        <w:instrText xml:space="preserve"> ADDIN EN.CITE &lt;EndNote&gt;&lt;Cite&gt;&lt;Author&gt;MacWhinney&lt;/Author&gt;&lt;Year&gt;2014&lt;/Year&gt;&lt;RecNum&gt;10152&lt;/RecNum&gt;&lt;DisplayText&gt;(MacWhinney, Malchukov, &amp;amp; Moravcsik, 2014)&lt;/DisplayText&gt;&lt;record&gt;&lt;rec-number&gt;10152&lt;/rec-number&gt;&lt;foreign-keys&gt;&lt;key app="EN" db-id="prewxt000rws29e2ta752dpgx0pdtfxr9za5" timestamp="1517256364"&gt;10152&lt;/key&gt;&lt;key app="ENWeb" db-id=""&gt;0&lt;/key&gt;&lt;/foreign-keys&gt;&lt;ref-type name="Edited Book"&gt;28&lt;/ref-type&gt;&lt;contributors&gt;&lt;authors&gt;&lt;author&gt;MacWhinney, Brian&lt;/author&gt;&lt;author&gt;Malchukov, Andrej&lt;/author&gt;&lt;author&gt;Moravcsik, Edith&lt;/author&gt;&lt;/authors&gt;&lt;/contributors&gt;&lt;titles&gt;&lt;title&gt;Competing motivations in grammar and usage&lt;/title&gt;&lt;/titles&gt;&lt;keywords&gt;&lt;keyword&gt;Emergentism&lt;/keyword&gt;&lt;/keywords&gt;&lt;dates&gt;&lt;year&gt;2014&lt;/year&gt;&lt;/dates&gt;&lt;pub-location&gt;New York, NY&lt;/pub-location&gt;&lt;publisher&gt;Oxford University Press&lt;/publisher&gt;&lt;urls&gt;&lt;related-urls&gt;&lt;url&gt;https://www.amazon.com&lt;/url&gt;&lt;/related-urls&gt;&lt;/urls&gt;&lt;/record&gt;&lt;/Cite&gt;&lt;/EndNote&gt;</w:instrText>
      </w:r>
      <w:r w:rsidR="00FE1A19">
        <w:fldChar w:fldCharType="separate"/>
      </w:r>
      <w:r w:rsidR="00FE1A19">
        <w:rPr>
          <w:noProof/>
        </w:rPr>
        <w:t>(MacWhinney, Malchukov, &amp; Moravcsik, 2014)</w:t>
      </w:r>
      <w:r w:rsidR="00FE1A19">
        <w:fldChar w:fldCharType="end"/>
      </w:r>
      <w:r w:rsidR="003803F4">
        <w:t>.</w:t>
      </w:r>
    </w:p>
    <w:p w:rsidR="006740F1" w:rsidRDefault="006740F1" w:rsidP="009C60C7"/>
    <w:p w:rsidR="006740F1" w:rsidRPr="009C60C7" w:rsidRDefault="006740F1" w:rsidP="009C60C7">
      <w:r>
        <w:t xml:space="preserve">Hernandez </w:t>
      </w:r>
      <w:r w:rsidR="00834A95">
        <w:t>et al. demonstrate</w:t>
      </w:r>
      <w:r>
        <w:t xml:space="preserve"> that these four approaches to neuroemergentism are in fact highly mutually compatible.  The analysis I have given above </w:t>
      </w:r>
      <w:r w:rsidR="003803F4">
        <w:t xml:space="preserve">further </w:t>
      </w:r>
      <w:r>
        <w:t xml:space="preserve">supports </w:t>
      </w:r>
      <w:r w:rsidR="003803F4">
        <w:t>his</w:t>
      </w:r>
      <w:r>
        <w:t xml:space="preserve"> conclusion inasmuch as </w:t>
      </w:r>
      <w:r w:rsidR="002C2258">
        <w:t>each perspective</w:t>
      </w:r>
      <w:r>
        <w:t xml:space="preserve"> </w:t>
      </w:r>
      <w:r w:rsidR="002C2258">
        <w:t>views</w:t>
      </w:r>
      <w:r>
        <w:t xml:space="preserve"> language form as arising from combinations of items on new levels with new constraints through the development of the species and the individual.  The compatibility of these approaches should give us cause for optimism, allowing us to focus on the core task</w:t>
      </w:r>
      <w:r w:rsidR="003803F4">
        <w:t>s</w:t>
      </w:r>
      <w:r>
        <w:t xml:space="preserve"> of identifying the specific levels, constraints, competiti</w:t>
      </w:r>
      <w:r w:rsidR="003803F4">
        <w:t xml:space="preserve">ons, timeframes, and processes </w:t>
      </w:r>
      <w:r>
        <w:t>involved in shaping human language.</w:t>
      </w:r>
    </w:p>
    <w:p w:rsidR="00FE1A19" w:rsidRDefault="00FE1A19"/>
    <w:p w:rsidR="00FE1A19" w:rsidRDefault="00FE1A19"/>
    <w:p w:rsidR="00FE1A19" w:rsidRPr="00FE1A19" w:rsidRDefault="00FE1A19" w:rsidP="00FE1A19">
      <w:pPr>
        <w:pStyle w:val="EndNoteBibliography"/>
        <w:ind w:left="720" w:hanging="720"/>
        <w:rPr>
          <w:noProof/>
        </w:rPr>
      </w:pPr>
      <w:r>
        <w:fldChar w:fldCharType="begin"/>
      </w:r>
      <w:r>
        <w:instrText xml:space="preserve"> ADDIN EN.REFLIST </w:instrText>
      </w:r>
      <w:r>
        <w:fldChar w:fldCharType="separate"/>
      </w:r>
      <w:r w:rsidRPr="00FE1A19">
        <w:rPr>
          <w:noProof/>
        </w:rPr>
        <w:t xml:space="preserve">Anderson, M. L. (2010). Neural reuse: A fundamental organizational principle of the brain. </w:t>
      </w:r>
      <w:r w:rsidRPr="00FE1A19">
        <w:rPr>
          <w:i/>
          <w:noProof/>
        </w:rPr>
        <w:t>Behavioral and Brain Sciences, 33</w:t>
      </w:r>
      <w:r w:rsidRPr="00FE1A19">
        <w:rPr>
          <w:noProof/>
        </w:rPr>
        <w:t xml:space="preserve">(4), 245-266. </w:t>
      </w:r>
    </w:p>
    <w:p w:rsidR="00FE1A19" w:rsidRPr="00FE1A19" w:rsidRDefault="00FE1A19" w:rsidP="00FE1A19">
      <w:pPr>
        <w:pStyle w:val="EndNoteBibliography"/>
        <w:ind w:left="720" w:hanging="720"/>
        <w:rPr>
          <w:noProof/>
        </w:rPr>
      </w:pPr>
      <w:r w:rsidRPr="00FE1A19">
        <w:rPr>
          <w:noProof/>
        </w:rPr>
        <w:t xml:space="preserve">Arbib, M. (2015). Language evolution: An emergentism perspective. In B. MacWhinney &amp; W. O'Grady (Eds.), </w:t>
      </w:r>
      <w:r w:rsidRPr="00FE1A19">
        <w:rPr>
          <w:i/>
          <w:noProof/>
        </w:rPr>
        <w:t>The handbook of language emergence</w:t>
      </w:r>
      <w:r w:rsidRPr="00FE1A19">
        <w:rPr>
          <w:noProof/>
        </w:rPr>
        <w:t xml:space="preserve"> (pp. 600-624). New York, NY: Wiley.</w:t>
      </w:r>
    </w:p>
    <w:p w:rsidR="00FE1A19" w:rsidRPr="00FE1A19" w:rsidRDefault="00FE1A19" w:rsidP="00FE1A19">
      <w:pPr>
        <w:pStyle w:val="EndNoteBibliography"/>
        <w:ind w:left="720" w:hanging="720"/>
        <w:rPr>
          <w:noProof/>
        </w:rPr>
      </w:pPr>
      <w:r w:rsidRPr="00FE1A19">
        <w:rPr>
          <w:noProof/>
        </w:rPr>
        <w:t xml:space="preserve">Christiansen, M., &amp; Chater, N. (2008). Language as shaped by the brain. </w:t>
      </w:r>
      <w:r w:rsidRPr="00FE1A19">
        <w:rPr>
          <w:i/>
          <w:noProof/>
        </w:rPr>
        <w:t>Behavioral and Brain Sciences, 31</w:t>
      </w:r>
      <w:r w:rsidRPr="00FE1A19">
        <w:rPr>
          <w:noProof/>
        </w:rPr>
        <w:t xml:space="preserve">, 489-558. </w:t>
      </w:r>
    </w:p>
    <w:p w:rsidR="00FE1A19" w:rsidRPr="00FE1A19" w:rsidRDefault="00FE1A19" w:rsidP="00FE1A19">
      <w:pPr>
        <w:pStyle w:val="EndNoteBibliography"/>
        <w:ind w:left="720" w:hanging="720"/>
        <w:rPr>
          <w:noProof/>
        </w:rPr>
      </w:pPr>
      <w:r w:rsidRPr="00FE1A19">
        <w:rPr>
          <w:noProof/>
        </w:rPr>
        <w:t xml:space="preserve">Dehaene, S., &amp; Cohen, L. (2007). Cultural recycling of cortical maps. </w:t>
      </w:r>
      <w:r w:rsidRPr="00FE1A19">
        <w:rPr>
          <w:i/>
          <w:noProof/>
        </w:rPr>
        <w:t>Neuron, 56</w:t>
      </w:r>
      <w:r w:rsidRPr="00FE1A19">
        <w:rPr>
          <w:noProof/>
        </w:rPr>
        <w:t xml:space="preserve">(2), 384-398. </w:t>
      </w:r>
    </w:p>
    <w:p w:rsidR="00FE1A19" w:rsidRPr="00FE1A19" w:rsidRDefault="00FE1A19" w:rsidP="00FE1A19">
      <w:pPr>
        <w:pStyle w:val="EndNoteBibliography"/>
        <w:ind w:left="720" w:hanging="720"/>
        <w:rPr>
          <w:noProof/>
        </w:rPr>
      </w:pPr>
      <w:r w:rsidRPr="00FE1A19">
        <w:rPr>
          <w:noProof/>
        </w:rPr>
        <w:t xml:space="preserve">Everett, D. (2015). The role of culture in the emergence of language. In B. MacWhinney &amp; W. O'Grady (Eds.), </w:t>
      </w:r>
      <w:r w:rsidRPr="00FE1A19">
        <w:rPr>
          <w:i/>
          <w:noProof/>
        </w:rPr>
        <w:t>The handbook of language emergence</w:t>
      </w:r>
      <w:r w:rsidRPr="00FE1A19">
        <w:rPr>
          <w:noProof/>
        </w:rPr>
        <w:t xml:space="preserve"> (pp. 354-376). New York, NY: Wiley.</w:t>
      </w:r>
    </w:p>
    <w:p w:rsidR="00FE1A19" w:rsidRPr="00FE1A19" w:rsidRDefault="00FE1A19" w:rsidP="00FE1A19">
      <w:pPr>
        <w:pStyle w:val="EndNoteBibliography"/>
        <w:ind w:left="720" w:hanging="720"/>
        <w:rPr>
          <w:noProof/>
        </w:rPr>
      </w:pPr>
      <w:r w:rsidRPr="00FE1A19">
        <w:rPr>
          <w:noProof/>
        </w:rPr>
        <w:t xml:space="preserve">Fisher, S., &amp; Scharff, C. (2009). FOXP2 as a molecular window into speech and language. </w:t>
      </w:r>
      <w:r w:rsidRPr="00FE1A19">
        <w:rPr>
          <w:i/>
          <w:noProof/>
        </w:rPr>
        <w:t>Trends in Genetics, 25</w:t>
      </w:r>
      <w:r w:rsidRPr="00FE1A19">
        <w:rPr>
          <w:noProof/>
        </w:rPr>
        <w:t xml:space="preserve">, 166-177. </w:t>
      </w:r>
    </w:p>
    <w:p w:rsidR="00FE1A19" w:rsidRPr="00FE1A19" w:rsidRDefault="00FE1A19" w:rsidP="00FE1A19">
      <w:pPr>
        <w:pStyle w:val="EndNoteBibliography"/>
        <w:ind w:left="720" w:hanging="720"/>
        <w:rPr>
          <w:noProof/>
        </w:rPr>
      </w:pPr>
      <w:r w:rsidRPr="00FE1A19">
        <w:rPr>
          <w:noProof/>
        </w:rPr>
        <w:t xml:space="preserve">Hauser, M., Chomsky, N., &amp; Fitch, T. (2002). The faculty of language: What is it, who has it, and how did it evolve? </w:t>
      </w:r>
      <w:r w:rsidRPr="00FE1A19">
        <w:rPr>
          <w:i/>
          <w:noProof/>
        </w:rPr>
        <w:t>Science, 298</w:t>
      </w:r>
      <w:r w:rsidRPr="00FE1A19">
        <w:rPr>
          <w:noProof/>
        </w:rPr>
        <w:t xml:space="preserve">, 1569-1579. </w:t>
      </w:r>
    </w:p>
    <w:p w:rsidR="00FE1A19" w:rsidRPr="00FE1A19" w:rsidRDefault="00FE1A19" w:rsidP="00FE1A19">
      <w:pPr>
        <w:pStyle w:val="EndNoteBibliography"/>
        <w:ind w:left="720" w:hanging="720"/>
        <w:rPr>
          <w:noProof/>
        </w:rPr>
      </w:pPr>
      <w:r w:rsidRPr="00FE1A19">
        <w:rPr>
          <w:noProof/>
        </w:rPr>
        <w:t xml:space="preserve">Hernandez, A. E., Claussenius-Kalman, H. L., Ronderos, J., Castilla-Earls, A. P., Sun, L., Weiss, S. D., &amp; Young, D. R. (in press). Neuroemergentism: A framework for studying cognition and the brain. </w:t>
      </w:r>
      <w:r w:rsidRPr="00FE1A19">
        <w:rPr>
          <w:i/>
          <w:noProof/>
        </w:rPr>
        <w:t>Journal of Neurolinguistics</w:t>
      </w:r>
      <w:r w:rsidRPr="00FE1A19">
        <w:rPr>
          <w:noProof/>
        </w:rPr>
        <w:t xml:space="preserve">. </w:t>
      </w:r>
    </w:p>
    <w:p w:rsidR="00FE1A19" w:rsidRPr="00FE1A19" w:rsidRDefault="00FE1A19" w:rsidP="00FE1A19">
      <w:pPr>
        <w:pStyle w:val="EndNoteBibliography"/>
        <w:ind w:left="720" w:hanging="720"/>
        <w:rPr>
          <w:noProof/>
        </w:rPr>
      </w:pPr>
      <w:r w:rsidRPr="00FE1A19">
        <w:rPr>
          <w:noProof/>
        </w:rPr>
        <w:t xml:space="preserve">Hickok, G., &amp; Poeppel, D. (2004). Dorsal and ventral streams: a framework for understanding aspects of the functional anatomy of language. </w:t>
      </w:r>
      <w:r w:rsidRPr="00FE1A19">
        <w:rPr>
          <w:i/>
          <w:noProof/>
        </w:rPr>
        <w:t>Cognition, 92</w:t>
      </w:r>
      <w:r w:rsidRPr="00FE1A19">
        <w:rPr>
          <w:noProof/>
        </w:rPr>
        <w:t xml:space="preserve">, 67-99. </w:t>
      </w:r>
    </w:p>
    <w:p w:rsidR="00FE1A19" w:rsidRPr="00FE1A19" w:rsidRDefault="00FE1A19" w:rsidP="00FE1A19">
      <w:pPr>
        <w:pStyle w:val="EndNoteBibliography"/>
        <w:ind w:left="720" w:hanging="720"/>
        <w:rPr>
          <w:noProof/>
        </w:rPr>
      </w:pPr>
      <w:r w:rsidRPr="00FE1A19">
        <w:rPr>
          <w:noProof/>
        </w:rPr>
        <w:t xml:space="preserve">Honey, C. J., Newman, E. L., &amp; Schapiro, A. C. (2017). Switching between internal and external modes: A multi-scale learning principle. </w:t>
      </w:r>
      <w:r w:rsidRPr="00FE1A19">
        <w:rPr>
          <w:i/>
          <w:noProof/>
        </w:rPr>
        <w:t>Network Neuroscience</w:t>
      </w:r>
      <w:r w:rsidRPr="00FE1A19">
        <w:rPr>
          <w:noProof/>
        </w:rPr>
        <w:t xml:space="preserve">(Early Access), 1-18. </w:t>
      </w:r>
    </w:p>
    <w:p w:rsidR="00FE1A19" w:rsidRPr="00FE1A19" w:rsidRDefault="00FE1A19" w:rsidP="00FE1A19">
      <w:pPr>
        <w:pStyle w:val="EndNoteBibliography"/>
        <w:ind w:left="720" w:hanging="720"/>
        <w:rPr>
          <w:noProof/>
        </w:rPr>
      </w:pPr>
      <w:r w:rsidRPr="00FE1A19">
        <w:rPr>
          <w:noProof/>
        </w:rPr>
        <w:t xml:space="preserve">MacWhinney, B. (2005). Language evolution and human development. In B. Ellis &amp; D. Bjorklund (Eds.), </w:t>
      </w:r>
      <w:r w:rsidRPr="00FE1A19">
        <w:rPr>
          <w:i/>
          <w:noProof/>
        </w:rPr>
        <w:t>Origins of the social mind</w:t>
      </w:r>
      <w:r w:rsidRPr="00FE1A19">
        <w:rPr>
          <w:noProof/>
        </w:rPr>
        <w:t xml:space="preserve"> (pp. 383-410). New York, NY: Guilford.</w:t>
      </w:r>
    </w:p>
    <w:p w:rsidR="00FE1A19" w:rsidRPr="00FE1A19" w:rsidRDefault="00FE1A19" w:rsidP="00FE1A19">
      <w:pPr>
        <w:pStyle w:val="EndNoteBibliography"/>
        <w:ind w:left="720" w:hanging="720"/>
        <w:rPr>
          <w:noProof/>
        </w:rPr>
      </w:pPr>
      <w:r w:rsidRPr="00FE1A19">
        <w:rPr>
          <w:noProof/>
        </w:rPr>
        <w:t xml:space="preserve">MacWhinney, B. (2014). Conclusions: Competition across time. In B. MacWhinney, A. Malchukov, &amp; E. Moravcsik (Eds.), </w:t>
      </w:r>
      <w:r w:rsidRPr="00FE1A19">
        <w:rPr>
          <w:i/>
          <w:noProof/>
        </w:rPr>
        <w:t>Competing motivations in grammar and usage</w:t>
      </w:r>
      <w:r w:rsidRPr="00FE1A19">
        <w:rPr>
          <w:noProof/>
        </w:rPr>
        <w:t xml:space="preserve"> (pp. 364-386). New York, NY: Oxford University Press.</w:t>
      </w:r>
    </w:p>
    <w:p w:rsidR="00FE1A19" w:rsidRPr="00FE1A19" w:rsidRDefault="00FE1A19" w:rsidP="00FE1A19">
      <w:pPr>
        <w:pStyle w:val="EndNoteBibliography"/>
        <w:ind w:left="720" w:hanging="720"/>
        <w:rPr>
          <w:noProof/>
        </w:rPr>
      </w:pPr>
      <w:r w:rsidRPr="00FE1A19">
        <w:rPr>
          <w:noProof/>
        </w:rPr>
        <w:t xml:space="preserve">MacWhinney, B. (2015). Emergentism. In E. Dabrowsksa &amp; D. Divjak (Eds.), </w:t>
      </w:r>
      <w:r w:rsidRPr="00FE1A19">
        <w:rPr>
          <w:i/>
          <w:noProof/>
        </w:rPr>
        <w:t>Handbook of Cognitive Linguistics</w:t>
      </w:r>
      <w:r w:rsidRPr="00FE1A19">
        <w:rPr>
          <w:noProof/>
        </w:rPr>
        <w:t xml:space="preserve"> (pp. 689-706). New York, NY: Mouton-DeGruyter.</w:t>
      </w:r>
    </w:p>
    <w:p w:rsidR="00FE1A19" w:rsidRPr="00FE1A19" w:rsidRDefault="00FE1A19" w:rsidP="00FE1A19">
      <w:pPr>
        <w:pStyle w:val="EndNoteBibliography"/>
        <w:ind w:left="720" w:hanging="720"/>
        <w:rPr>
          <w:noProof/>
        </w:rPr>
      </w:pPr>
      <w:r w:rsidRPr="00FE1A19">
        <w:rPr>
          <w:noProof/>
        </w:rPr>
        <w:t xml:space="preserve">MacWhinney, B., Bates, E., &amp; Kliegl, R. (1984). Cue validity and sentence interpretation in English, German, and Italian. </w:t>
      </w:r>
      <w:r w:rsidRPr="00FE1A19">
        <w:rPr>
          <w:i/>
          <w:noProof/>
        </w:rPr>
        <w:t>Journal of Verbal Learning and Verbal Behavior, 23</w:t>
      </w:r>
      <w:r w:rsidRPr="00FE1A19">
        <w:rPr>
          <w:noProof/>
        </w:rPr>
        <w:t xml:space="preserve">, 127-150. </w:t>
      </w:r>
    </w:p>
    <w:p w:rsidR="00FE1A19" w:rsidRPr="00FE1A19" w:rsidRDefault="00FE1A19" w:rsidP="00FE1A19">
      <w:pPr>
        <w:pStyle w:val="EndNoteBibliography"/>
        <w:ind w:left="720" w:hanging="720"/>
        <w:rPr>
          <w:noProof/>
        </w:rPr>
      </w:pPr>
      <w:r w:rsidRPr="00FE1A19">
        <w:rPr>
          <w:noProof/>
        </w:rPr>
        <w:t xml:space="preserve">MacWhinney, B., Malchukov, A., &amp; Moravcsik, E. (Eds.). (2014). </w:t>
      </w:r>
      <w:r w:rsidRPr="00FE1A19">
        <w:rPr>
          <w:i/>
          <w:noProof/>
        </w:rPr>
        <w:t>Competing motivations in grammar and usage</w:t>
      </w:r>
      <w:r w:rsidRPr="00FE1A19">
        <w:rPr>
          <w:noProof/>
        </w:rPr>
        <w:t>. New York, NY: Oxford University Press.</w:t>
      </w:r>
    </w:p>
    <w:p w:rsidR="00FE1A19" w:rsidRPr="00FE1A19" w:rsidRDefault="00FE1A19" w:rsidP="00FE1A19">
      <w:pPr>
        <w:pStyle w:val="EndNoteBibliography"/>
        <w:ind w:left="720" w:hanging="720"/>
        <w:rPr>
          <w:noProof/>
        </w:rPr>
      </w:pPr>
      <w:r w:rsidRPr="00FE1A19">
        <w:rPr>
          <w:noProof/>
        </w:rPr>
        <w:t xml:space="preserve">Mill, J. S. (1859). </w:t>
      </w:r>
      <w:r w:rsidRPr="00FE1A19">
        <w:rPr>
          <w:i/>
          <w:noProof/>
        </w:rPr>
        <w:t>System of Logic, Rationative and Inductive; Being a Connected View of The Principles of Evidence and the Methods of Scientific Investigation. Chapter VI: Of the Composition of Causes</w:t>
      </w:r>
      <w:r w:rsidRPr="00FE1A19">
        <w:rPr>
          <w:noProof/>
        </w:rPr>
        <w:t>. New York: Harper and Brothers.</w:t>
      </w:r>
    </w:p>
    <w:p w:rsidR="00FE1A19" w:rsidRPr="00FE1A19" w:rsidRDefault="00FE1A19" w:rsidP="00FE1A19">
      <w:pPr>
        <w:pStyle w:val="EndNoteBibliography"/>
        <w:ind w:left="720" w:hanging="720"/>
        <w:rPr>
          <w:noProof/>
        </w:rPr>
      </w:pPr>
      <w:r w:rsidRPr="00FE1A19">
        <w:rPr>
          <w:noProof/>
        </w:rPr>
        <w:t xml:space="preserve">Mithen, S. (1996). </w:t>
      </w:r>
      <w:r w:rsidRPr="00FE1A19">
        <w:rPr>
          <w:i/>
          <w:noProof/>
        </w:rPr>
        <w:t>The prehistory of the mind: The cognitive origins of art, religion, and science</w:t>
      </w:r>
      <w:r w:rsidRPr="00FE1A19">
        <w:rPr>
          <w:noProof/>
        </w:rPr>
        <w:t>. London: Thames and Hudson.</w:t>
      </w:r>
    </w:p>
    <w:p w:rsidR="00FE1A19" w:rsidRPr="00FE1A19" w:rsidRDefault="00FE1A19" w:rsidP="00FE1A19">
      <w:pPr>
        <w:pStyle w:val="EndNoteBibliography"/>
        <w:ind w:left="720" w:hanging="720"/>
        <w:rPr>
          <w:noProof/>
        </w:rPr>
      </w:pPr>
      <w:r w:rsidRPr="00FE1A19">
        <w:rPr>
          <w:noProof/>
        </w:rPr>
        <w:t xml:space="preserve">O'Grady, W. (2015). Anaphora and the case for emergentism. In B. MacWhinney &amp; W. O'Grady (Eds.), </w:t>
      </w:r>
      <w:r w:rsidRPr="00FE1A19">
        <w:rPr>
          <w:i/>
          <w:noProof/>
        </w:rPr>
        <w:t>The handbook of language emergence</w:t>
      </w:r>
      <w:r w:rsidRPr="00FE1A19">
        <w:rPr>
          <w:noProof/>
        </w:rPr>
        <w:t xml:space="preserve"> (pp. 100-122). New York, NY: Wiley.</w:t>
      </w:r>
    </w:p>
    <w:p w:rsidR="00FE1A19" w:rsidRPr="00FE1A19" w:rsidRDefault="00FE1A19" w:rsidP="00FE1A19">
      <w:pPr>
        <w:pStyle w:val="EndNoteBibliography"/>
        <w:ind w:left="720" w:hanging="720"/>
        <w:rPr>
          <w:noProof/>
        </w:rPr>
      </w:pPr>
      <w:r w:rsidRPr="00FE1A19">
        <w:rPr>
          <w:noProof/>
        </w:rPr>
        <w:t xml:space="preserve">Ratcliff, R., Smith, P. L., Brown, S. D., &amp; McKoon, G. (2016). Diffusion decision model: current issues and history. </w:t>
      </w:r>
      <w:r w:rsidRPr="00FE1A19">
        <w:rPr>
          <w:i/>
          <w:noProof/>
        </w:rPr>
        <w:t>Trends in Cognitive Sciences, 20</w:t>
      </w:r>
      <w:r w:rsidRPr="00FE1A19">
        <w:rPr>
          <w:noProof/>
        </w:rPr>
        <w:t xml:space="preserve">(4), 260-281. </w:t>
      </w:r>
    </w:p>
    <w:p w:rsidR="00FE1A19" w:rsidRPr="00FE1A19" w:rsidRDefault="00FE1A19" w:rsidP="00FE1A19">
      <w:pPr>
        <w:pStyle w:val="EndNoteBibliography"/>
        <w:ind w:left="720" w:hanging="720"/>
        <w:rPr>
          <w:noProof/>
        </w:rPr>
      </w:pPr>
      <w:r w:rsidRPr="00FE1A19">
        <w:rPr>
          <w:noProof/>
        </w:rPr>
        <w:lastRenderedPageBreak/>
        <w:t xml:space="preserve">Werker, J., &amp; Hensch, T. (2014). Critical periods in speech perception: New directions. </w:t>
      </w:r>
      <w:r w:rsidRPr="00FE1A19">
        <w:rPr>
          <w:i/>
          <w:noProof/>
        </w:rPr>
        <w:t>Annual Review of Psychology, 66</w:t>
      </w:r>
      <w:r w:rsidRPr="00FE1A19">
        <w:rPr>
          <w:noProof/>
        </w:rPr>
        <w:t>, 173-196. doi:10.1146/annurev-psych-010814-015104</w:t>
      </w:r>
    </w:p>
    <w:p w:rsidR="00FE1A19" w:rsidRPr="00FE1A19" w:rsidRDefault="00FE1A19" w:rsidP="00FE1A19">
      <w:pPr>
        <w:pStyle w:val="EndNoteBibliography"/>
        <w:ind w:left="720" w:hanging="720"/>
        <w:rPr>
          <w:noProof/>
        </w:rPr>
      </w:pPr>
      <w:r w:rsidRPr="00FE1A19">
        <w:rPr>
          <w:noProof/>
        </w:rPr>
        <w:t xml:space="preserve">West-Eberhard, M. J. (2003). </w:t>
      </w:r>
      <w:r w:rsidRPr="00FE1A19">
        <w:rPr>
          <w:i/>
          <w:noProof/>
        </w:rPr>
        <w:t>Developmental plasticity and evolution</w:t>
      </w:r>
      <w:r w:rsidRPr="00FE1A19">
        <w:rPr>
          <w:noProof/>
        </w:rPr>
        <w:t>: Oxford University Press.</w:t>
      </w:r>
    </w:p>
    <w:p w:rsidR="002C2258" w:rsidRDefault="00FE1A19">
      <w:r>
        <w:fldChar w:fldCharType="end"/>
      </w:r>
    </w:p>
    <w:sectPr w:rsidR="002C2258" w:rsidSect="00FD026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DengXian Light">
    <w:altName w:val="等线 Light"/>
    <w:panose1 w:val="02010600030101010101"/>
    <w:charset w:val="86"/>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4"/>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APA 6th&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rewxt000rws29e2ta752dpgx0pdtfxr9za5&quot;&gt;allrefs-work&lt;record-ids&gt;&lt;item&gt;2582&lt;/item&gt;&lt;item&gt;8313&lt;/item&gt;&lt;item&gt;8349&lt;/item&gt;&lt;item&gt;8655&lt;/item&gt;&lt;item&gt;9761&lt;/item&gt;&lt;item&gt;9879&lt;/item&gt;&lt;item&gt;10054&lt;/item&gt;&lt;item&gt;10077&lt;/item&gt;&lt;item&gt;10152&lt;/item&gt;&lt;item&gt;10321&lt;/item&gt;&lt;item&gt;10700&lt;/item&gt;&lt;item&gt;10711&lt;/item&gt;&lt;item&gt;10722&lt;/item&gt;&lt;item&gt;11116&lt;/item&gt;&lt;item&gt;11439&lt;/item&gt;&lt;item&gt;11440&lt;/item&gt;&lt;item&gt;11441&lt;/item&gt;&lt;item&gt;11442&lt;/item&gt;&lt;item&gt;11452&lt;/item&gt;&lt;item&gt;11453&lt;/item&gt;&lt;item&gt;11454&lt;/item&gt;&lt;/record-ids&gt;&lt;/item&gt;&lt;/Libraries&gt;"/>
  </w:docVars>
  <w:rsids>
    <w:rsidRoot w:val="00F13D50"/>
    <w:rsid w:val="00022555"/>
    <w:rsid w:val="0003275D"/>
    <w:rsid w:val="00047EEF"/>
    <w:rsid w:val="00064CB2"/>
    <w:rsid w:val="00083B38"/>
    <w:rsid w:val="000B4B76"/>
    <w:rsid w:val="000C1F71"/>
    <w:rsid w:val="000D165D"/>
    <w:rsid w:val="000D29C0"/>
    <w:rsid w:val="00122799"/>
    <w:rsid w:val="00130BC6"/>
    <w:rsid w:val="0015140B"/>
    <w:rsid w:val="00151BA3"/>
    <w:rsid w:val="00186D34"/>
    <w:rsid w:val="00193B42"/>
    <w:rsid w:val="00195D38"/>
    <w:rsid w:val="001A1F66"/>
    <w:rsid w:val="001B2986"/>
    <w:rsid w:val="001D68B1"/>
    <w:rsid w:val="002026C7"/>
    <w:rsid w:val="00206F07"/>
    <w:rsid w:val="00210BC1"/>
    <w:rsid w:val="002141E7"/>
    <w:rsid w:val="00224B9F"/>
    <w:rsid w:val="002261E9"/>
    <w:rsid w:val="00233400"/>
    <w:rsid w:val="00235C0C"/>
    <w:rsid w:val="00243172"/>
    <w:rsid w:val="002504F9"/>
    <w:rsid w:val="00287E2D"/>
    <w:rsid w:val="002964AB"/>
    <w:rsid w:val="002B2D88"/>
    <w:rsid w:val="002C2258"/>
    <w:rsid w:val="002E35F8"/>
    <w:rsid w:val="002E64DE"/>
    <w:rsid w:val="00302C07"/>
    <w:rsid w:val="003346EC"/>
    <w:rsid w:val="00340C20"/>
    <w:rsid w:val="00341F28"/>
    <w:rsid w:val="00352F45"/>
    <w:rsid w:val="003558E3"/>
    <w:rsid w:val="003724F4"/>
    <w:rsid w:val="00373350"/>
    <w:rsid w:val="003803F4"/>
    <w:rsid w:val="00381D62"/>
    <w:rsid w:val="00394584"/>
    <w:rsid w:val="003A3222"/>
    <w:rsid w:val="003A65CC"/>
    <w:rsid w:val="003B0D79"/>
    <w:rsid w:val="003B4A65"/>
    <w:rsid w:val="003B5E86"/>
    <w:rsid w:val="003C70D2"/>
    <w:rsid w:val="003D5D5C"/>
    <w:rsid w:val="003E3CE7"/>
    <w:rsid w:val="003E576F"/>
    <w:rsid w:val="003F471A"/>
    <w:rsid w:val="004003A3"/>
    <w:rsid w:val="0042633A"/>
    <w:rsid w:val="00447C76"/>
    <w:rsid w:val="00472697"/>
    <w:rsid w:val="00480943"/>
    <w:rsid w:val="00492E46"/>
    <w:rsid w:val="00496E94"/>
    <w:rsid w:val="004A06D4"/>
    <w:rsid w:val="004C3971"/>
    <w:rsid w:val="004D0EF0"/>
    <w:rsid w:val="004F3054"/>
    <w:rsid w:val="00516DE7"/>
    <w:rsid w:val="005272E3"/>
    <w:rsid w:val="00554F3C"/>
    <w:rsid w:val="00564C0C"/>
    <w:rsid w:val="00565D26"/>
    <w:rsid w:val="005764F1"/>
    <w:rsid w:val="00593907"/>
    <w:rsid w:val="00595E63"/>
    <w:rsid w:val="005A224F"/>
    <w:rsid w:val="005D1FDB"/>
    <w:rsid w:val="005D6D37"/>
    <w:rsid w:val="005E0B50"/>
    <w:rsid w:val="005E448A"/>
    <w:rsid w:val="005F6D72"/>
    <w:rsid w:val="00607100"/>
    <w:rsid w:val="00635B34"/>
    <w:rsid w:val="0065001D"/>
    <w:rsid w:val="006500CA"/>
    <w:rsid w:val="006526FD"/>
    <w:rsid w:val="006546C6"/>
    <w:rsid w:val="006740F1"/>
    <w:rsid w:val="0069435E"/>
    <w:rsid w:val="006A2B2D"/>
    <w:rsid w:val="006B24C0"/>
    <w:rsid w:val="006C1A74"/>
    <w:rsid w:val="006C535C"/>
    <w:rsid w:val="006D31EC"/>
    <w:rsid w:val="006D4EC3"/>
    <w:rsid w:val="006D5709"/>
    <w:rsid w:val="006E228D"/>
    <w:rsid w:val="007343C0"/>
    <w:rsid w:val="00735762"/>
    <w:rsid w:val="00744B00"/>
    <w:rsid w:val="00745619"/>
    <w:rsid w:val="007557E2"/>
    <w:rsid w:val="00762387"/>
    <w:rsid w:val="00763D18"/>
    <w:rsid w:val="007875D3"/>
    <w:rsid w:val="007B6E55"/>
    <w:rsid w:val="007C2BF1"/>
    <w:rsid w:val="007C33FB"/>
    <w:rsid w:val="007F2343"/>
    <w:rsid w:val="008049BF"/>
    <w:rsid w:val="00834A95"/>
    <w:rsid w:val="00840E1C"/>
    <w:rsid w:val="00843A0B"/>
    <w:rsid w:val="00861EAE"/>
    <w:rsid w:val="008803C6"/>
    <w:rsid w:val="00885154"/>
    <w:rsid w:val="008972D3"/>
    <w:rsid w:val="008B7677"/>
    <w:rsid w:val="008C505A"/>
    <w:rsid w:val="00915D4D"/>
    <w:rsid w:val="00916CDC"/>
    <w:rsid w:val="00931444"/>
    <w:rsid w:val="00940C6C"/>
    <w:rsid w:val="009624B7"/>
    <w:rsid w:val="00964D22"/>
    <w:rsid w:val="00973F17"/>
    <w:rsid w:val="009849AC"/>
    <w:rsid w:val="009A4FA9"/>
    <w:rsid w:val="009B465E"/>
    <w:rsid w:val="009C60C7"/>
    <w:rsid w:val="009D4D3C"/>
    <w:rsid w:val="009E6CBC"/>
    <w:rsid w:val="009F2F2E"/>
    <w:rsid w:val="00A04E1C"/>
    <w:rsid w:val="00A1056D"/>
    <w:rsid w:val="00A11E55"/>
    <w:rsid w:val="00AB012B"/>
    <w:rsid w:val="00AC5D62"/>
    <w:rsid w:val="00AE6597"/>
    <w:rsid w:val="00AF32EB"/>
    <w:rsid w:val="00B4681E"/>
    <w:rsid w:val="00B717D3"/>
    <w:rsid w:val="00B733E0"/>
    <w:rsid w:val="00B8056B"/>
    <w:rsid w:val="00B865B6"/>
    <w:rsid w:val="00BE1F19"/>
    <w:rsid w:val="00BF5A78"/>
    <w:rsid w:val="00C02333"/>
    <w:rsid w:val="00C16F16"/>
    <w:rsid w:val="00C34231"/>
    <w:rsid w:val="00C534A8"/>
    <w:rsid w:val="00C7710D"/>
    <w:rsid w:val="00C94241"/>
    <w:rsid w:val="00C94325"/>
    <w:rsid w:val="00C975C6"/>
    <w:rsid w:val="00CB1395"/>
    <w:rsid w:val="00D053F1"/>
    <w:rsid w:val="00D20359"/>
    <w:rsid w:val="00D34A52"/>
    <w:rsid w:val="00D61D23"/>
    <w:rsid w:val="00D622A5"/>
    <w:rsid w:val="00D866C3"/>
    <w:rsid w:val="00D91EFE"/>
    <w:rsid w:val="00E0374F"/>
    <w:rsid w:val="00E11373"/>
    <w:rsid w:val="00E30664"/>
    <w:rsid w:val="00E34B33"/>
    <w:rsid w:val="00E37763"/>
    <w:rsid w:val="00E534BB"/>
    <w:rsid w:val="00E86281"/>
    <w:rsid w:val="00EB2A14"/>
    <w:rsid w:val="00EB2FD1"/>
    <w:rsid w:val="00EB571F"/>
    <w:rsid w:val="00EC02D7"/>
    <w:rsid w:val="00EE42FC"/>
    <w:rsid w:val="00F11415"/>
    <w:rsid w:val="00F13D50"/>
    <w:rsid w:val="00F21DCC"/>
    <w:rsid w:val="00F36354"/>
    <w:rsid w:val="00F513F0"/>
    <w:rsid w:val="00F7141E"/>
    <w:rsid w:val="00FD0267"/>
    <w:rsid w:val="00FE1A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3465DAB1"/>
  <w14:defaultImageDpi w14:val="32767"/>
  <w15:chartTrackingRefBased/>
  <w15:docId w15:val="{621A35AE-323D-5E43-BA55-D0FC4B39BC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Title">
    <w:name w:val="EndNote Bibliography Title"/>
    <w:basedOn w:val="Normal"/>
    <w:link w:val="EndNoteBibliographyTitleChar"/>
    <w:rsid w:val="00206F07"/>
    <w:pPr>
      <w:jc w:val="center"/>
    </w:pPr>
    <w:rPr>
      <w:rFonts w:ascii="Calibri" w:hAnsi="Calibri" w:cs="Calibri"/>
    </w:rPr>
  </w:style>
  <w:style w:type="character" w:customStyle="1" w:styleId="EndNoteBibliographyTitleChar">
    <w:name w:val="EndNote Bibliography Title Char"/>
    <w:basedOn w:val="DefaultParagraphFont"/>
    <w:link w:val="EndNoteBibliographyTitle"/>
    <w:rsid w:val="00206F07"/>
    <w:rPr>
      <w:rFonts w:ascii="Calibri" w:hAnsi="Calibri" w:cs="Calibri"/>
    </w:rPr>
  </w:style>
  <w:style w:type="paragraph" w:customStyle="1" w:styleId="EndNoteBibliography">
    <w:name w:val="EndNote Bibliography"/>
    <w:basedOn w:val="Normal"/>
    <w:link w:val="EndNoteBibliographyChar"/>
    <w:rsid w:val="00206F07"/>
    <w:rPr>
      <w:rFonts w:ascii="Calibri" w:hAnsi="Calibri" w:cs="Calibri"/>
    </w:rPr>
  </w:style>
  <w:style w:type="character" w:customStyle="1" w:styleId="EndNoteBibliographyChar">
    <w:name w:val="EndNote Bibliography Char"/>
    <w:basedOn w:val="DefaultParagraphFont"/>
    <w:link w:val="EndNoteBibliography"/>
    <w:rsid w:val="00206F07"/>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37205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270</TotalTime>
  <Pages>6</Pages>
  <Words>5533</Words>
  <Characters>31542</Characters>
  <Application>Microsoft Office Word</Application>
  <DocSecurity>0</DocSecurity>
  <Lines>262</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macw</cp:lastModifiedBy>
  <cp:revision>25</cp:revision>
  <dcterms:created xsi:type="dcterms:W3CDTF">2018-02-10T13:34:00Z</dcterms:created>
  <dcterms:modified xsi:type="dcterms:W3CDTF">2018-04-13T17:27:00Z</dcterms:modified>
</cp:coreProperties>
</file>